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75" w:rsidRPr="0090071A" w:rsidRDefault="00925E1A" w:rsidP="007F2875">
      <w:pPr>
        <w:jc w:val="center"/>
        <w:rPr>
          <w:bCs/>
          <w:sz w:val="22"/>
          <w:szCs w:val="22"/>
        </w:rPr>
      </w:pPr>
      <w:bookmarkStart w:id="0" w:name="_GoBack"/>
      <w:bookmarkEnd w:id="0"/>
      <w:r>
        <w:rPr>
          <w:bCs/>
          <w:sz w:val="22"/>
          <w:szCs w:val="22"/>
        </w:rPr>
        <w:t>TOWN OF CHILMARK</w:t>
      </w:r>
    </w:p>
    <w:p w:rsidR="007F2875" w:rsidRPr="0090071A" w:rsidRDefault="007F2875" w:rsidP="007F2875">
      <w:pPr>
        <w:jc w:val="center"/>
        <w:rPr>
          <w:bCs/>
          <w:sz w:val="22"/>
          <w:szCs w:val="22"/>
        </w:rPr>
      </w:pPr>
      <w:r w:rsidRPr="0090071A">
        <w:rPr>
          <w:bCs/>
          <w:sz w:val="22"/>
          <w:szCs w:val="22"/>
        </w:rPr>
        <w:t xml:space="preserve"> INVESTMENT POLICY STATEMENT</w:t>
      </w:r>
    </w:p>
    <w:p w:rsidR="00034B09" w:rsidRDefault="00034B09">
      <w:pPr>
        <w:jc w:val="center"/>
        <w:rPr>
          <w:rFonts w:cs="Arial"/>
          <w:bCs/>
          <w:sz w:val="22"/>
          <w:szCs w:val="32"/>
          <w:u w:val="single"/>
        </w:rPr>
      </w:pPr>
    </w:p>
    <w:p w:rsidR="007F2875" w:rsidRPr="007F2875" w:rsidRDefault="007F2875">
      <w:pPr>
        <w:jc w:val="center"/>
        <w:rPr>
          <w:rFonts w:cs="Arial"/>
          <w:bCs/>
          <w:sz w:val="22"/>
          <w:szCs w:val="32"/>
          <w:u w:val="single"/>
        </w:rPr>
      </w:pPr>
    </w:p>
    <w:p w:rsidR="004A2731" w:rsidRPr="0090071A" w:rsidRDefault="004A2731" w:rsidP="004A2731">
      <w:pPr>
        <w:pStyle w:val="Heading1"/>
        <w:ind w:firstLine="720"/>
        <w:jc w:val="both"/>
        <w:rPr>
          <w:sz w:val="22"/>
          <w:szCs w:val="22"/>
        </w:rPr>
      </w:pPr>
      <w:r w:rsidRPr="0090071A">
        <w:rPr>
          <w:sz w:val="22"/>
          <w:szCs w:val="22"/>
        </w:rPr>
        <w:t xml:space="preserve">The primary purpose of this Investment Policy Statement (IPS) is to provide a </w:t>
      </w:r>
      <w:r w:rsidR="00016771">
        <w:rPr>
          <w:sz w:val="22"/>
          <w:szCs w:val="22"/>
        </w:rPr>
        <w:t xml:space="preserve">clear understanding regarding the </w:t>
      </w:r>
      <w:r w:rsidR="00925E1A">
        <w:rPr>
          <w:sz w:val="22"/>
          <w:szCs w:val="22"/>
        </w:rPr>
        <w:t>Town of Chilmark’s</w:t>
      </w:r>
      <w:r w:rsidR="00016771">
        <w:rPr>
          <w:sz w:val="22"/>
          <w:szCs w:val="22"/>
        </w:rPr>
        <w:t xml:space="preserve"> (the </w:t>
      </w:r>
      <w:r w:rsidR="00016771" w:rsidRPr="00925E1A">
        <w:rPr>
          <w:sz w:val="22"/>
          <w:szCs w:val="22"/>
        </w:rPr>
        <w:t>“Town</w:t>
      </w:r>
      <w:r w:rsidR="00016771">
        <w:rPr>
          <w:sz w:val="22"/>
          <w:szCs w:val="22"/>
        </w:rPr>
        <w:t>”)</w:t>
      </w:r>
      <w:r w:rsidRPr="0090071A">
        <w:rPr>
          <w:sz w:val="22"/>
          <w:szCs w:val="22"/>
        </w:rPr>
        <w:t xml:space="preserve"> </w:t>
      </w:r>
      <w:r w:rsidR="009E4A95">
        <w:rPr>
          <w:sz w:val="22"/>
          <w:szCs w:val="22"/>
        </w:rPr>
        <w:t>Long Term Funds and</w:t>
      </w:r>
      <w:r w:rsidR="00016771">
        <w:rPr>
          <w:sz w:val="22"/>
          <w:szCs w:val="22"/>
        </w:rPr>
        <w:t>, General Fund</w:t>
      </w:r>
      <w:r w:rsidRPr="0090071A">
        <w:rPr>
          <w:sz w:val="22"/>
          <w:szCs w:val="22"/>
        </w:rPr>
        <w:t xml:space="preserve"> objectives, goals, risk tolerance, and investment guidelines established for the </w:t>
      </w:r>
      <w:r w:rsidR="004F0708">
        <w:rPr>
          <w:sz w:val="22"/>
          <w:szCs w:val="22"/>
        </w:rPr>
        <w:t>investment of town funds</w:t>
      </w:r>
      <w:r w:rsidR="00016771">
        <w:rPr>
          <w:sz w:val="22"/>
          <w:szCs w:val="22"/>
        </w:rPr>
        <w:t xml:space="preserve">. </w:t>
      </w:r>
      <w:r w:rsidRPr="0090071A">
        <w:rPr>
          <w:sz w:val="22"/>
          <w:szCs w:val="22"/>
        </w:rPr>
        <w:t xml:space="preserve"> </w:t>
      </w:r>
    </w:p>
    <w:p w:rsidR="001E6F87" w:rsidRDefault="001E6F87" w:rsidP="001E6F87">
      <w:pPr>
        <w:ind w:left="360"/>
        <w:rPr>
          <w:rFonts w:cs="Arial Black"/>
          <w:bCs/>
          <w:sz w:val="22"/>
          <w:szCs w:val="24"/>
        </w:rPr>
      </w:pPr>
    </w:p>
    <w:p w:rsidR="007F2875" w:rsidRPr="007F2875" w:rsidRDefault="007F2875" w:rsidP="001E6F87">
      <w:pPr>
        <w:ind w:left="360"/>
        <w:rPr>
          <w:rFonts w:cs="Arial Black"/>
          <w:bCs/>
          <w:sz w:val="22"/>
          <w:szCs w:val="24"/>
        </w:rPr>
      </w:pPr>
    </w:p>
    <w:p w:rsidR="00034B09" w:rsidRPr="007F2875" w:rsidRDefault="00034B09" w:rsidP="007F2875">
      <w:pPr>
        <w:jc w:val="both"/>
        <w:rPr>
          <w:rFonts w:cs="Arial Black"/>
          <w:bCs/>
          <w:sz w:val="22"/>
          <w:szCs w:val="24"/>
        </w:rPr>
      </w:pPr>
      <w:r w:rsidRPr="007F2875">
        <w:rPr>
          <w:rFonts w:cs="Arial Black"/>
          <w:bCs/>
          <w:sz w:val="22"/>
          <w:szCs w:val="24"/>
        </w:rPr>
        <w:t>I.  The Investment of General Funds, Special Revenue Funds, Enterprise Funds, and Capital Projects Funds</w:t>
      </w:r>
    </w:p>
    <w:p w:rsidR="007F2875" w:rsidRPr="007F2875" w:rsidRDefault="007F2875">
      <w:pPr>
        <w:rPr>
          <w:rFonts w:cs="Arial"/>
          <w:sz w:val="22"/>
        </w:rPr>
      </w:pPr>
    </w:p>
    <w:p w:rsidR="00034B09" w:rsidRPr="007F2875" w:rsidRDefault="00034B09">
      <w:pPr>
        <w:rPr>
          <w:rFonts w:cs="Arial"/>
          <w:bCs/>
          <w:sz w:val="22"/>
          <w:szCs w:val="24"/>
        </w:rPr>
      </w:pPr>
      <w:r w:rsidRPr="007F2875">
        <w:rPr>
          <w:rFonts w:cs="Arial"/>
          <w:bCs/>
          <w:sz w:val="22"/>
          <w:szCs w:val="24"/>
        </w:rPr>
        <w:t>A.  Scope</w:t>
      </w:r>
    </w:p>
    <w:p w:rsidR="00034B09" w:rsidRPr="007F2875" w:rsidRDefault="00034B09">
      <w:pPr>
        <w:rPr>
          <w:rFonts w:cs="Arial"/>
          <w:bCs/>
          <w:sz w:val="22"/>
          <w:szCs w:val="24"/>
        </w:rPr>
      </w:pPr>
    </w:p>
    <w:p w:rsidR="00034B09" w:rsidRPr="007F2875" w:rsidRDefault="00034B09" w:rsidP="007F2875">
      <w:pPr>
        <w:ind w:firstLine="720"/>
        <w:jc w:val="both"/>
        <w:rPr>
          <w:rFonts w:cs="Arial"/>
          <w:sz w:val="22"/>
        </w:rPr>
      </w:pPr>
      <w:r w:rsidRPr="007F2875">
        <w:rPr>
          <w:rFonts w:cs="Arial"/>
          <w:sz w:val="22"/>
        </w:rPr>
        <w:t>This section of the IPS applies only to short term operating funds such as general funds, special revenue funds, enterprise funds, bond proceeds and cap</w:t>
      </w:r>
      <w:r w:rsidR="00016771">
        <w:rPr>
          <w:rFonts w:cs="Arial"/>
          <w:sz w:val="22"/>
        </w:rPr>
        <w:t xml:space="preserve">ital project funds.  </w:t>
      </w:r>
      <w:r w:rsidR="00222D86">
        <w:rPr>
          <w:rFonts w:cs="Arial"/>
          <w:sz w:val="22"/>
        </w:rPr>
        <w:t>The Dukes County</w:t>
      </w:r>
      <w:r w:rsidRPr="007F2875">
        <w:rPr>
          <w:rFonts w:cs="Arial"/>
          <w:sz w:val="22"/>
        </w:rPr>
        <w:t xml:space="preserve"> Contributory Retiremen</w:t>
      </w:r>
      <w:r w:rsidR="00222D86">
        <w:rPr>
          <w:rFonts w:cs="Arial"/>
          <w:sz w:val="22"/>
        </w:rPr>
        <w:t>t Board</w:t>
      </w:r>
      <w:r w:rsidRPr="007F2875">
        <w:rPr>
          <w:rFonts w:cs="Arial"/>
          <w:sz w:val="22"/>
        </w:rPr>
        <w:t xml:space="preserve"> is respon</w:t>
      </w:r>
      <w:r w:rsidR="00222D86">
        <w:rPr>
          <w:rFonts w:cs="Arial"/>
          <w:sz w:val="22"/>
        </w:rPr>
        <w:t xml:space="preserve">sible for the investment of the pension funds. The Dukes County Pooled OPEB Trust is responsible for investing the town’s OPEB trust funds. </w:t>
      </w:r>
    </w:p>
    <w:p w:rsidR="00034B09" w:rsidRPr="007F2875" w:rsidRDefault="00034B09">
      <w:pPr>
        <w:rPr>
          <w:rFonts w:cs="Arial"/>
          <w:sz w:val="22"/>
        </w:rPr>
      </w:pPr>
    </w:p>
    <w:p w:rsidR="00034B09" w:rsidRPr="007F2875" w:rsidRDefault="00AA055A">
      <w:pPr>
        <w:rPr>
          <w:rFonts w:cs="Arial"/>
          <w:bCs/>
          <w:sz w:val="22"/>
          <w:szCs w:val="24"/>
        </w:rPr>
      </w:pPr>
      <w:r w:rsidRPr="007F2875">
        <w:rPr>
          <w:rFonts w:cs="Arial"/>
          <w:bCs/>
          <w:sz w:val="22"/>
          <w:szCs w:val="24"/>
        </w:rPr>
        <w:t>B</w:t>
      </w:r>
      <w:r w:rsidR="00034B09" w:rsidRPr="007F2875">
        <w:rPr>
          <w:rFonts w:cs="Arial"/>
          <w:bCs/>
          <w:sz w:val="22"/>
          <w:szCs w:val="24"/>
        </w:rPr>
        <w:t>.  Investment Instruments</w:t>
      </w:r>
    </w:p>
    <w:p w:rsidR="00034B09" w:rsidRPr="007F2875" w:rsidRDefault="00034B09">
      <w:pPr>
        <w:rPr>
          <w:rFonts w:cs="Arial"/>
          <w:sz w:val="22"/>
        </w:rPr>
      </w:pPr>
    </w:p>
    <w:p w:rsidR="00034B09" w:rsidRPr="00993202" w:rsidRDefault="00034B09" w:rsidP="007F2875">
      <w:pPr>
        <w:ind w:firstLine="720"/>
        <w:jc w:val="both"/>
        <w:rPr>
          <w:rFonts w:cs="Arial"/>
          <w:strike/>
          <w:sz w:val="22"/>
        </w:rPr>
      </w:pPr>
      <w:r w:rsidRPr="007F2875">
        <w:rPr>
          <w:rFonts w:cs="Arial"/>
          <w:bCs/>
          <w:sz w:val="22"/>
          <w:u w:val="single"/>
        </w:rPr>
        <w:t>Note</w:t>
      </w:r>
      <w:r w:rsidRPr="007F2875">
        <w:rPr>
          <w:rFonts w:cs="Arial"/>
          <w:sz w:val="22"/>
        </w:rPr>
        <w:t xml:space="preserve">: Public investments in Massachusetts are not protected through provisions in State law.  </w:t>
      </w:r>
    </w:p>
    <w:p w:rsidR="00034B09" w:rsidRPr="007F2875" w:rsidRDefault="00034B09">
      <w:pPr>
        <w:rPr>
          <w:rFonts w:cs="Arial"/>
          <w:sz w:val="22"/>
        </w:rPr>
      </w:pPr>
    </w:p>
    <w:p w:rsidR="00034B09" w:rsidRPr="007F2875" w:rsidRDefault="00034B09" w:rsidP="007F2875">
      <w:pPr>
        <w:ind w:firstLine="720"/>
        <w:rPr>
          <w:rFonts w:cs="Arial"/>
          <w:sz w:val="22"/>
        </w:rPr>
      </w:pPr>
      <w:r w:rsidRPr="007F2875">
        <w:rPr>
          <w:rFonts w:cs="Arial"/>
          <w:sz w:val="22"/>
        </w:rPr>
        <w:t>The Treasurer may invest in the following instruments:</w:t>
      </w:r>
    </w:p>
    <w:p w:rsidR="007F2875" w:rsidRDefault="007F2875" w:rsidP="007F2875">
      <w:pPr>
        <w:ind w:left="720"/>
        <w:rPr>
          <w:rFonts w:cs="Arial"/>
          <w:sz w:val="22"/>
        </w:rPr>
      </w:pPr>
    </w:p>
    <w:p w:rsidR="00034B09" w:rsidRPr="004A2731" w:rsidRDefault="00034B09" w:rsidP="004A2731">
      <w:pPr>
        <w:numPr>
          <w:ilvl w:val="0"/>
          <w:numId w:val="24"/>
        </w:numPr>
        <w:jc w:val="both"/>
        <w:rPr>
          <w:rFonts w:cs="Arial"/>
          <w:sz w:val="22"/>
        </w:rPr>
      </w:pPr>
      <w:r w:rsidRPr="007F2875">
        <w:rPr>
          <w:rFonts w:cs="Arial"/>
          <w:sz w:val="22"/>
        </w:rPr>
        <w:t xml:space="preserve">Massachusetts State pooled fund:  </w:t>
      </w:r>
      <w:r w:rsidRPr="007F2875">
        <w:rPr>
          <w:rFonts w:cs="Arial"/>
          <w:bCs/>
          <w:sz w:val="22"/>
          <w:u w:val="single"/>
        </w:rPr>
        <w:t>Unlimited amounts</w:t>
      </w:r>
      <w:r w:rsidRPr="007F2875">
        <w:rPr>
          <w:rFonts w:cs="Arial"/>
          <w:sz w:val="22"/>
        </w:rPr>
        <w:t xml:space="preserve"> (Pool is liquid)</w:t>
      </w:r>
      <w:r w:rsidR="004A2731">
        <w:rPr>
          <w:rFonts w:cs="Arial"/>
          <w:sz w:val="22"/>
        </w:rPr>
        <w:t xml:space="preserve"> </w:t>
      </w:r>
      <w:r w:rsidRPr="004A2731">
        <w:rPr>
          <w:rFonts w:cs="Arial"/>
          <w:sz w:val="22"/>
        </w:rPr>
        <w:t>The Massachusetts Municipal Depository Trust (MMDT), an investment pool for state, local, county and other independent governmental authorities, is under the auspices of the State Treasurer</w:t>
      </w:r>
      <w:r w:rsidR="00555452" w:rsidRPr="004A2731">
        <w:rPr>
          <w:rFonts w:cs="Arial"/>
          <w:sz w:val="22"/>
        </w:rPr>
        <w:t>.</w:t>
      </w:r>
      <w:r w:rsidRPr="004A2731">
        <w:rPr>
          <w:rFonts w:cs="Arial"/>
          <w:sz w:val="22"/>
        </w:rPr>
        <w:t xml:space="preserve">  It invests in Bankers Acceptances, Commercial Paper of high quality, Bank Certificates of Deposit, Repurchase agreements (Repos), and U. S. Treasury Obligations.   It has Federal Deposit Insurance Corporation (F.D.I.C.) pass-through insurance on the CD's up to the standard limits and takes delivery on the Repos and Treasuries.  Under Government Accounting Standards Board Regulation (GASB III), it is not considered an uncollateralized product.  </w:t>
      </w:r>
    </w:p>
    <w:p w:rsidR="00034B09" w:rsidRPr="007F2875" w:rsidRDefault="00034B09" w:rsidP="004E3A23">
      <w:pPr>
        <w:numPr>
          <w:ilvl w:val="0"/>
          <w:numId w:val="24"/>
        </w:numPr>
        <w:jc w:val="both"/>
        <w:rPr>
          <w:rFonts w:cs="Arial"/>
          <w:bCs/>
          <w:sz w:val="22"/>
        </w:rPr>
      </w:pPr>
      <w:r w:rsidRPr="007F2875">
        <w:rPr>
          <w:rFonts w:cs="Arial"/>
          <w:sz w:val="22"/>
        </w:rPr>
        <w:t xml:space="preserve">U. S. Treasuries that will be held to maturity:  </w:t>
      </w:r>
      <w:r w:rsidRPr="007F2875">
        <w:rPr>
          <w:rFonts w:cs="Arial"/>
          <w:bCs/>
          <w:sz w:val="22"/>
          <w:u w:val="single"/>
        </w:rPr>
        <w:t>Unlimited amounts</w:t>
      </w:r>
      <w:r w:rsidRPr="007F2875">
        <w:rPr>
          <w:rFonts w:cs="Arial"/>
          <w:bCs/>
          <w:sz w:val="22"/>
        </w:rPr>
        <w:t xml:space="preserve"> (Up to one year maturity from date of purchase)</w:t>
      </w:r>
    </w:p>
    <w:p w:rsidR="00034B09" w:rsidRPr="007F2875" w:rsidRDefault="00034B09" w:rsidP="004E3A23">
      <w:pPr>
        <w:numPr>
          <w:ilvl w:val="0"/>
          <w:numId w:val="24"/>
        </w:numPr>
        <w:jc w:val="both"/>
        <w:rPr>
          <w:rFonts w:cs="Arial"/>
          <w:bCs/>
          <w:sz w:val="22"/>
        </w:rPr>
      </w:pPr>
      <w:r w:rsidRPr="007F2875">
        <w:rPr>
          <w:rFonts w:cs="Arial"/>
          <w:sz w:val="22"/>
        </w:rPr>
        <w:t xml:space="preserve">U.S. Agency obligations that will be held to maturity.  </w:t>
      </w:r>
      <w:r w:rsidRPr="007F2875">
        <w:rPr>
          <w:rFonts w:cs="Arial"/>
          <w:bCs/>
          <w:sz w:val="22"/>
          <w:u w:val="single"/>
        </w:rPr>
        <w:t>Unlimited amounts</w:t>
      </w:r>
      <w:r w:rsidRPr="007F2875">
        <w:rPr>
          <w:rFonts w:cs="Arial"/>
          <w:bCs/>
          <w:sz w:val="22"/>
        </w:rPr>
        <w:t xml:space="preserve"> (Up to one year maturity from date of purchase)</w:t>
      </w:r>
    </w:p>
    <w:p w:rsidR="00034B09" w:rsidRPr="007F2875" w:rsidRDefault="00034B09" w:rsidP="004E3A23">
      <w:pPr>
        <w:numPr>
          <w:ilvl w:val="0"/>
          <w:numId w:val="24"/>
        </w:numPr>
        <w:jc w:val="both"/>
        <w:rPr>
          <w:rFonts w:cs="Arial"/>
          <w:sz w:val="22"/>
        </w:rPr>
      </w:pPr>
      <w:r w:rsidRPr="007F2875">
        <w:rPr>
          <w:rFonts w:cs="Arial"/>
          <w:sz w:val="22"/>
        </w:rPr>
        <w:t xml:space="preserve">Bank accounts or Certificates of Deposit (“CDs”) </w:t>
      </w:r>
      <w:r w:rsidRPr="007F2875">
        <w:rPr>
          <w:rFonts w:cs="Arial"/>
          <w:bCs/>
          <w:sz w:val="22"/>
        </w:rPr>
        <w:t>(Up to one year)</w:t>
      </w:r>
      <w:r w:rsidRPr="007F2875">
        <w:rPr>
          <w:rFonts w:cs="Arial"/>
          <w:sz w:val="22"/>
        </w:rPr>
        <w:t xml:space="preserve"> which are fully collateralized through a third party agreement:  </w:t>
      </w:r>
      <w:r w:rsidRPr="007F2875">
        <w:rPr>
          <w:rFonts w:cs="Arial"/>
          <w:bCs/>
          <w:sz w:val="22"/>
          <w:u w:val="single"/>
        </w:rPr>
        <w:t>Unlimited Amounts</w:t>
      </w:r>
      <w:r w:rsidRPr="007F2875">
        <w:rPr>
          <w:rFonts w:cs="Arial"/>
          <w:sz w:val="22"/>
        </w:rPr>
        <w:t xml:space="preserve"> </w:t>
      </w:r>
    </w:p>
    <w:p w:rsidR="00034B09" w:rsidRPr="007F2875" w:rsidRDefault="00034B09" w:rsidP="004E3A23">
      <w:pPr>
        <w:numPr>
          <w:ilvl w:val="0"/>
          <w:numId w:val="24"/>
        </w:numPr>
        <w:jc w:val="both"/>
        <w:rPr>
          <w:rFonts w:cs="Arial"/>
          <w:sz w:val="22"/>
        </w:rPr>
      </w:pPr>
      <w:r w:rsidRPr="007F2875">
        <w:rPr>
          <w:rFonts w:cs="Arial"/>
          <w:sz w:val="22"/>
        </w:rPr>
        <w:t>Bank accounts and CDs</w:t>
      </w:r>
      <w:r w:rsidRPr="007F2875">
        <w:rPr>
          <w:rFonts w:cs="Arial"/>
          <w:bCs/>
          <w:sz w:val="22"/>
        </w:rPr>
        <w:t xml:space="preserve"> (Up to one year)</w:t>
      </w:r>
      <w:r w:rsidRPr="007F2875">
        <w:rPr>
          <w:rFonts w:cs="Arial"/>
          <w:sz w:val="22"/>
        </w:rPr>
        <w:t xml:space="preserve"> insured by F.D.I.C. </w:t>
      </w:r>
      <w:r w:rsidRPr="007F2875">
        <w:rPr>
          <w:rFonts w:cs="Arial"/>
          <w:bCs/>
          <w:sz w:val="22"/>
          <w:u w:val="single"/>
        </w:rPr>
        <w:t>up to the coverage limit</w:t>
      </w:r>
      <w:r w:rsidRPr="007F2875">
        <w:rPr>
          <w:rFonts w:cs="Arial"/>
          <w:bCs/>
          <w:sz w:val="22"/>
        </w:rPr>
        <w:t xml:space="preserve">. </w:t>
      </w:r>
      <w:r w:rsidRPr="007F2875">
        <w:rPr>
          <w:rFonts w:cs="Arial"/>
          <w:sz w:val="22"/>
        </w:rPr>
        <w:t>All bank accounts and CDs in one institution are considered in the aggregate for the insurance coverage limit. In some cases Banking Institutions carry additional insurance, Depository Insurance Fund (D.I.F.):  Contact banking representative for amounts of coverage.</w:t>
      </w:r>
    </w:p>
    <w:p w:rsidR="00034B09" w:rsidRPr="007F2875" w:rsidRDefault="00034B09" w:rsidP="004E3A23">
      <w:pPr>
        <w:numPr>
          <w:ilvl w:val="0"/>
          <w:numId w:val="24"/>
        </w:numPr>
        <w:jc w:val="both"/>
        <w:rPr>
          <w:rFonts w:cs="Arial"/>
          <w:sz w:val="22"/>
        </w:rPr>
      </w:pPr>
      <w:r w:rsidRPr="007F2875">
        <w:rPr>
          <w:rFonts w:cs="Arial"/>
          <w:bCs/>
          <w:sz w:val="22"/>
        </w:rPr>
        <w:t>Unsecured bank deposits</w:t>
      </w:r>
      <w:r w:rsidRPr="007F2875">
        <w:rPr>
          <w:rFonts w:cs="Arial"/>
          <w:sz w:val="22"/>
        </w:rPr>
        <w:t xml:space="preserve"> of any kind such as other checking, savings, money market, or Certificates of Deposit accounts at Banks that do not fit the above categories.  These investments are subject to the following limitations:  </w:t>
      </w:r>
      <w:r w:rsidRPr="007F2875">
        <w:rPr>
          <w:rFonts w:cs="Arial"/>
          <w:bCs/>
          <w:sz w:val="22"/>
        </w:rPr>
        <w:t>No more than 5% of an institution's assets and no more than 25% of a municipality's cash may be comprised of unsecured bank deposits.</w:t>
      </w:r>
      <w:r w:rsidRPr="007F2875">
        <w:rPr>
          <w:rFonts w:cs="Arial"/>
          <w:sz w:val="22"/>
        </w:rPr>
        <w:t xml:space="preserve"> This percentage may be increased for not more than 30 days during times of heavy collection or in anticipation of large paymen</w:t>
      </w:r>
      <w:r w:rsidR="00993202">
        <w:rPr>
          <w:rFonts w:cs="Arial"/>
          <w:sz w:val="22"/>
        </w:rPr>
        <w:t>ts that will be made by the entity in the near future. For example, t</w:t>
      </w:r>
      <w:r w:rsidRPr="007F2875">
        <w:rPr>
          <w:rFonts w:cs="Arial"/>
          <w:sz w:val="22"/>
        </w:rPr>
        <w:t xml:space="preserve">hese payments may be for such items as debt service payment or regional school assessments.  Their credit worthiness will </w:t>
      </w:r>
      <w:r w:rsidR="00222D86">
        <w:rPr>
          <w:rFonts w:cs="Arial"/>
          <w:sz w:val="22"/>
        </w:rPr>
        <w:t>be tracked by a</w:t>
      </w:r>
      <w:r w:rsidRPr="007F2875">
        <w:rPr>
          <w:rFonts w:cs="Arial"/>
          <w:sz w:val="22"/>
        </w:rPr>
        <w:t xml:space="preserve"> bank cre</w:t>
      </w:r>
      <w:r w:rsidR="00222D86">
        <w:rPr>
          <w:rFonts w:cs="Arial"/>
          <w:sz w:val="22"/>
        </w:rPr>
        <w:t>dit worthiness reporting system</w:t>
      </w:r>
      <w:r w:rsidRPr="007F2875">
        <w:rPr>
          <w:rFonts w:cs="Arial"/>
          <w:sz w:val="22"/>
        </w:rPr>
        <w:t>.  They will be diversified as much as possible.  CDs will be purchased for no more than one year and will be reviewed frequently.</w:t>
      </w:r>
    </w:p>
    <w:p w:rsidR="00034B09" w:rsidRPr="00222D86" w:rsidRDefault="00034B09" w:rsidP="00222D86">
      <w:pPr>
        <w:numPr>
          <w:ilvl w:val="0"/>
          <w:numId w:val="24"/>
        </w:numPr>
        <w:jc w:val="both"/>
        <w:rPr>
          <w:rFonts w:cs="Arial"/>
          <w:sz w:val="22"/>
        </w:rPr>
      </w:pPr>
      <w:r w:rsidRPr="007F2875">
        <w:rPr>
          <w:rFonts w:cs="Arial"/>
          <w:bCs/>
          <w:sz w:val="22"/>
        </w:rPr>
        <w:lastRenderedPageBreak/>
        <w:t xml:space="preserve">Money Market Mutual Funds </w:t>
      </w:r>
      <w:r w:rsidRPr="007F2875">
        <w:rPr>
          <w:rFonts w:cs="Arial"/>
          <w:sz w:val="22"/>
        </w:rPr>
        <w:t>that are registered with the Securities and Exchange Commission that have received the highest possible rating from at least one nationally recognized statistical rating organization and as otherwise referenced in the Massachusetts General Law Chapter 44 Section 55.</w:t>
      </w:r>
    </w:p>
    <w:p w:rsidR="00034B09" w:rsidRPr="007F2875" w:rsidRDefault="00034B09">
      <w:pPr>
        <w:ind w:left="2160"/>
        <w:rPr>
          <w:rFonts w:cs="Arial"/>
          <w:bCs/>
          <w:sz w:val="22"/>
        </w:rPr>
      </w:pPr>
    </w:p>
    <w:p w:rsidR="00034B09" w:rsidRPr="007F2875" w:rsidRDefault="00AA055A">
      <w:pPr>
        <w:rPr>
          <w:rFonts w:cs="Arial"/>
          <w:sz w:val="22"/>
        </w:rPr>
      </w:pPr>
      <w:r w:rsidRPr="007F2875">
        <w:rPr>
          <w:rFonts w:cs="Arial"/>
          <w:bCs/>
          <w:sz w:val="22"/>
          <w:szCs w:val="24"/>
        </w:rPr>
        <w:t>C</w:t>
      </w:r>
      <w:r w:rsidR="00034B09" w:rsidRPr="007F2875">
        <w:rPr>
          <w:rFonts w:cs="Arial"/>
          <w:bCs/>
          <w:sz w:val="22"/>
          <w:szCs w:val="24"/>
        </w:rPr>
        <w:t>.  Diversification</w:t>
      </w:r>
    </w:p>
    <w:p w:rsidR="00034B09" w:rsidRPr="007F2875" w:rsidRDefault="00034B09">
      <w:pPr>
        <w:rPr>
          <w:rFonts w:cs="Arial"/>
          <w:sz w:val="22"/>
        </w:rPr>
      </w:pPr>
    </w:p>
    <w:p w:rsidR="00034B09" w:rsidRPr="007F2875" w:rsidRDefault="00034B09" w:rsidP="007F2875">
      <w:pPr>
        <w:ind w:firstLine="720"/>
        <w:jc w:val="both"/>
        <w:rPr>
          <w:rFonts w:cs="Arial"/>
          <w:sz w:val="22"/>
        </w:rPr>
      </w:pPr>
      <w:r w:rsidRPr="007F2875">
        <w:rPr>
          <w:rFonts w:cs="Arial"/>
          <w:sz w:val="22"/>
        </w:rPr>
        <w:t xml:space="preserve">Diversification should be interpreted in two ways: in terms of maturity as well as instrument type and issuer.  The diversification concept should include prohibition against over concentration of maturities, as well as concentration in a specific institution.  With the exception of U.S. Treasury obligations or investments fully collateralized by U.S. Treasuries or agencies, and State pools (MMDT), no more than </w:t>
      </w:r>
      <w:r w:rsidR="00993202" w:rsidRPr="00756C33">
        <w:rPr>
          <w:rFonts w:cs="Arial"/>
          <w:sz w:val="22"/>
        </w:rPr>
        <w:t>25%</w:t>
      </w:r>
      <w:r w:rsidR="00993202">
        <w:rPr>
          <w:rFonts w:cs="Arial"/>
          <w:sz w:val="22"/>
        </w:rPr>
        <w:t xml:space="preserve"> </w:t>
      </w:r>
      <w:r w:rsidRPr="007F2875">
        <w:rPr>
          <w:rFonts w:cs="Arial"/>
          <w:sz w:val="22"/>
        </w:rPr>
        <w:t xml:space="preserve">of the </w:t>
      </w:r>
      <w:r w:rsidR="00222D86">
        <w:rPr>
          <w:rFonts w:cs="Arial"/>
          <w:sz w:val="22"/>
        </w:rPr>
        <w:t>town</w:t>
      </w:r>
      <w:r w:rsidR="00AA055A" w:rsidRPr="007F2875">
        <w:rPr>
          <w:rFonts w:cs="Arial"/>
          <w:sz w:val="22"/>
        </w:rPr>
        <w:t>’s</w:t>
      </w:r>
      <w:r w:rsidRPr="007F2875">
        <w:rPr>
          <w:rFonts w:cs="Arial"/>
          <w:sz w:val="22"/>
        </w:rPr>
        <w:t xml:space="preserve"> investments shall be invested in a single financial institution.</w:t>
      </w:r>
    </w:p>
    <w:p w:rsidR="007F2875" w:rsidRPr="007F2875" w:rsidRDefault="007F2875">
      <w:pPr>
        <w:rPr>
          <w:rFonts w:cs="Arial"/>
          <w:sz w:val="22"/>
        </w:rPr>
      </w:pPr>
    </w:p>
    <w:p w:rsidR="00034B09" w:rsidRPr="007F2875" w:rsidRDefault="00AA055A">
      <w:pPr>
        <w:rPr>
          <w:rFonts w:cs="Arial"/>
          <w:bCs/>
          <w:sz w:val="22"/>
          <w:szCs w:val="24"/>
        </w:rPr>
      </w:pPr>
      <w:r w:rsidRPr="007F2875">
        <w:rPr>
          <w:rFonts w:cs="Arial"/>
          <w:bCs/>
          <w:sz w:val="22"/>
          <w:szCs w:val="24"/>
        </w:rPr>
        <w:t>D</w:t>
      </w:r>
      <w:r w:rsidR="00034B09" w:rsidRPr="007F2875">
        <w:rPr>
          <w:rFonts w:cs="Arial"/>
          <w:bCs/>
          <w:sz w:val="22"/>
          <w:szCs w:val="24"/>
        </w:rPr>
        <w:t>.  Authorization</w:t>
      </w:r>
    </w:p>
    <w:p w:rsidR="00034B09" w:rsidRPr="007F2875" w:rsidRDefault="00034B09">
      <w:pPr>
        <w:rPr>
          <w:rFonts w:cs="Arial"/>
          <w:sz w:val="22"/>
        </w:rPr>
      </w:pPr>
    </w:p>
    <w:p w:rsidR="00034B09" w:rsidRPr="007F2875" w:rsidRDefault="00034B09" w:rsidP="007F2875">
      <w:pPr>
        <w:ind w:firstLine="720"/>
        <w:jc w:val="both"/>
        <w:rPr>
          <w:rFonts w:cs="Arial"/>
          <w:sz w:val="22"/>
        </w:rPr>
      </w:pPr>
      <w:r w:rsidRPr="007F2875">
        <w:rPr>
          <w:rFonts w:cs="Arial"/>
          <w:sz w:val="22"/>
        </w:rPr>
        <w:t xml:space="preserve">The Treasurer has authority to invest </w:t>
      </w:r>
      <w:r w:rsidR="00AA055A" w:rsidRPr="007F2875">
        <w:rPr>
          <w:rFonts w:cs="Arial"/>
          <w:sz w:val="22"/>
        </w:rPr>
        <w:t>entity</w:t>
      </w:r>
      <w:r w:rsidRPr="007F2875">
        <w:rPr>
          <w:rFonts w:cs="Arial"/>
          <w:sz w:val="22"/>
        </w:rPr>
        <w:t xml:space="preserve"> funds, subject to the statutes of the Commonwealth Massachusetts General Law Chapter 44 Section 55,55A, &amp; 55B. </w:t>
      </w:r>
    </w:p>
    <w:p w:rsidR="00034B09" w:rsidRPr="007F2875" w:rsidRDefault="00034B09">
      <w:pPr>
        <w:rPr>
          <w:rFonts w:cs="Arial"/>
          <w:bCs/>
          <w:sz w:val="22"/>
          <w:szCs w:val="24"/>
        </w:rPr>
      </w:pPr>
    </w:p>
    <w:p w:rsidR="00034B09" w:rsidRPr="007F2875" w:rsidRDefault="00AA055A">
      <w:pPr>
        <w:rPr>
          <w:rFonts w:cs="Arial"/>
          <w:bCs/>
          <w:sz w:val="22"/>
          <w:szCs w:val="24"/>
        </w:rPr>
      </w:pPr>
      <w:r w:rsidRPr="007F2875">
        <w:rPr>
          <w:rFonts w:cs="Arial"/>
          <w:bCs/>
          <w:sz w:val="22"/>
          <w:szCs w:val="24"/>
        </w:rPr>
        <w:t>E</w:t>
      </w:r>
      <w:r w:rsidR="00034B09" w:rsidRPr="007F2875">
        <w:rPr>
          <w:rFonts w:cs="Arial"/>
          <w:bCs/>
          <w:sz w:val="22"/>
          <w:szCs w:val="24"/>
        </w:rPr>
        <w:t>.  Restrictions</w:t>
      </w:r>
    </w:p>
    <w:p w:rsidR="00034B09" w:rsidRPr="007F2875" w:rsidRDefault="00034B09">
      <w:pPr>
        <w:rPr>
          <w:rFonts w:cs="Arial"/>
          <w:bCs/>
          <w:sz w:val="22"/>
          <w:szCs w:val="24"/>
        </w:rPr>
      </w:pPr>
    </w:p>
    <w:p w:rsidR="00034B09" w:rsidRPr="007F2875" w:rsidRDefault="00034B09" w:rsidP="007F2875">
      <w:pPr>
        <w:ind w:firstLine="720"/>
        <w:jc w:val="both"/>
        <w:rPr>
          <w:rFonts w:cs="Arial"/>
          <w:sz w:val="22"/>
        </w:rPr>
      </w:pPr>
      <w:r w:rsidRPr="007F2875">
        <w:rPr>
          <w:rFonts w:cs="Arial"/>
          <w:sz w:val="22"/>
        </w:rPr>
        <w:t>Chapter 44, Section 55 set forth several rest</w:t>
      </w:r>
      <w:r w:rsidR="00222D86">
        <w:rPr>
          <w:rFonts w:cs="Arial"/>
          <w:sz w:val="22"/>
        </w:rPr>
        <w:t xml:space="preserve">rictions that the Treasurer shall </w:t>
      </w:r>
      <w:r w:rsidRPr="007F2875">
        <w:rPr>
          <w:rFonts w:cs="Arial"/>
          <w:sz w:val="22"/>
        </w:rPr>
        <w:t>be aware of when making investment selections.</w:t>
      </w:r>
    </w:p>
    <w:p w:rsidR="00034B09" w:rsidRPr="007F2875" w:rsidRDefault="00034B09">
      <w:pPr>
        <w:ind w:left="360"/>
        <w:rPr>
          <w:rFonts w:cs="Arial"/>
          <w:sz w:val="22"/>
        </w:rPr>
      </w:pPr>
    </w:p>
    <w:p w:rsidR="00034B09" w:rsidRPr="007F2875" w:rsidRDefault="00034B09" w:rsidP="004E3A23">
      <w:pPr>
        <w:numPr>
          <w:ilvl w:val="0"/>
          <w:numId w:val="27"/>
        </w:numPr>
        <w:jc w:val="both"/>
        <w:rPr>
          <w:rFonts w:cs="Arial"/>
          <w:sz w:val="22"/>
        </w:rPr>
      </w:pPr>
      <w:r w:rsidRPr="007F2875">
        <w:rPr>
          <w:rFonts w:cs="Arial"/>
          <w:sz w:val="22"/>
        </w:rPr>
        <w:t>A Treasurer shall not at any one time have on deposit in a bank or trust company an amount exceeding 60% of the capital and surplus of such bank or trust company, or banking company, unless satisfactory security is given to it by such bank or trust company, or banking company for such excess.</w:t>
      </w:r>
    </w:p>
    <w:p w:rsidR="00034B09" w:rsidRPr="007F2875" w:rsidRDefault="007116B5" w:rsidP="004E3A23">
      <w:pPr>
        <w:numPr>
          <w:ilvl w:val="0"/>
          <w:numId w:val="27"/>
        </w:numPr>
        <w:jc w:val="both"/>
        <w:rPr>
          <w:rFonts w:cs="Arial"/>
          <w:sz w:val="22"/>
        </w:rPr>
      </w:pPr>
      <w:r>
        <w:rPr>
          <w:rFonts w:cs="Arial"/>
          <w:sz w:val="22"/>
        </w:rPr>
        <w:t>The T</w:t>
      </w:r>
      <w:r w:rsidR="00034B09" w:rsidRPr="007F2875">
        <w:rPr>
          <w:rFonts w:cs="Arial"/>
          <w:sz w:val="22"/>
        </w:rPr>
        <w:t xml:space="preserve">reasurer shall not make a deposit in any bank, trust company or </w:t>
      </w:r>
      <w:r>
        <w:rPr>
          <w:rFonts w:cs="Arial"/>
          <w:sz w:val="22"/>
        </w:rPr>
        <w:t>banking company with which they are have been</w:t>
      </w:r>
      <w:r w:rsidR="00034B09" w:rsidRPr="007F2875">
        <w:rPr>
          <w:rFonts w:cs="Arial"/>
          <w:sz w:val="22"/>
        </w:rPr>
        <w:t xml:space="preserve"> for any time du</w:t>
      </w:r>
      <w:r>
        <w:rPr>
          <w:rFonts w:cs="Arial"/>
          <w:sz w:val="22"/>
        </w:rPr>
        <w:t>ring the three years</w:t>
      </w:r>
      <w:r w:rsidR="00034B09" w:rsidRPr="007F2875">
        <w:rPr>
          <w:rFonts w:cs="Arial"/>
          <w:sz w:val="22"/>
        </w:rPr>
        <w:t xml:space="preserve"> preceding the date of any such deposit was, associated as an officer or employee.</w:t>
      </w:r>
    </w:p>
    <w:p w:rsidR="00034B09" w:rsidRPr="007F2875" w:rsidRDefault="00034B09" w:rsidP="004E3A23">
      <w:pPr>
        <w:numPr>
          <w:ilvl w:val="0"/>
          <w:numId w:val="27"/>
        </w:numPr>
        <w:jc w:val="both"/>
        <w:rPr>
          <w:rFonts w:cs="Arial"/>
          <w:sz w:val="22"/>
        </w:rPr>
      </w:pPr>
      <w:r w:rsidRPr="007F2875">
        <w:rPr>
          <w:rFonts w:cs="Arial"/>
          <w:sz w:val="22"/>
        </w:rPr>
        <w:t>All securities shall have a maturity from date of purchase of one year or less.</w:t>
      </w:r>
    </w:p>
    <w:p w:rsidR="00034B09" w:rsidRPr="007F2875" w:rsidRDefault="00034B09" w:rsidP="004E3A23">
      <w:pPr>
        <w:numPr>
          <w:ilvl w:val="0"/>
          <w:numId w:val="27"/>
        </w:numPr>
        <w:jc w:val="both"/>
        <w:rPr>
          <w:rFonts w:cs="Arial"/>
          <w:sz w:val="22"/>
        </w:rPr>
      </w:pPr>
      <w:r w:rsidRPr="007F2875">
        <w:rPr>
          <w:rFonts w:cs="Arial"/>
          <w:sz w:val="22"/>
        </w:rPr>
        <w:t>Purchases under an agreement with a trust company, national bank or Banking Company to repurchase at not less than original purchase price of said securities on a fixed date shall not exceed ninety days.</w:t>
      </w:r>
    </w:p>
    <w:p w:rsidR="004A2731" w:rsidRPr="007F2875" w:rsidRDefault="004A2731" w:rsidP="007F2875"/>
    <w:p w:rsidR="00034B09" w:rsidRPr="007F2875" w:rsidRDefault="00AA055A">
      <w:pPr>
        <w:pStyle w:val="Heading2"/>
        <w:numPr>
          <w:ilvl w:val="0"/>
          <w:numId w:val="0"/>
        </w:numPr>
        <w:rPr>
          <w:rFonts w:cs="Arial"/>
          <w:b w:val="0"/>
          <w:sz w:val="22"/>
        </w:rPr>
      </w:pPr>
      <w:r w:rsidRPr="007F2875">
        <w:rPr>
          <w:rFonts w:cs="Arial"/>
          <w:b w:val="0"/>
          <w:sz w:val="22"/>
        </w:rPr>
        <w:t>F</w:t>
      </w:r>
      <w:r w:rsidR="00034B09" w:rsidRPr="007F2875">
        <w:rPr>
          <w:rFonts w:cs="Arial"/>
          <w:b w:val="0"/>
          <w:sz w:val="22"/>
        </w:rPr>
        <w:t>.  Legal References</w:t>
      </w:r>
    </w:p>
    <w:p w:rsidR="00034B09" w:rsidRPr="007F2875" w:rsidRDefault="00034B09">
      <w:pPr>
        <w:rPr>
          <w:rFonts w:cs="Arial"/>
          <w:sz w:val="22"/>
        </w:rPr>
      </w:pPr>
    </w:p>
    <w:p w:rsidR="00034B09" w:rsidRPr="007F2875" w:rsidRDefault="00034B09">
      <w:pPr>
        <w:ind w:firstLine="720"/>
        <w:rPr>
          <w:rFonts w:cs="Arial"/>
          <w:sz w:val="22"/>
        </w:rPr>
      </w:pPr>
      <w:r w:rsidRPr="007F2875">
        <w:rPr>
          <w:rFonts w:cs="Arial"/>
          <w:sz w:val="22"/>
        </w:rPr>
        <w:t>Massachusetts General Law Chapter 44, Section 55</w:t>
      </w:r>
    </w:p>
    <w:p w:rsidR="00034B09" w:rsidRPr="007F2875" w:rsidRDefault="00034B09">
      <w:pPr>
        <w:ind w:firstLine="720"/>
        <w:rPr>
          <w:rFonts w:cs="Arial"/>
          <w:sz w:val="22"/>
        </w:rPr>
      </w:pPr>
      <w:r w:rsidRPr="007F2875">
        <w:rPr>
          <w:rFonts w:cs="Arial"/>
          <w:sz w:val="22"/>
        </w:rPr>
        <w:t>Massachusetts General Law Chapter 44, Section 55A</w:t>
      </w:r>
    </w:p>
    <w:p w:rsidR="00034B09" w:rsidRPr="007F2875" w:rsidRDefault="00034B09">
      <w:pPr>
        <w:ind w:firstLine="720"/>
        <w:rPr>
          <w:rFonts w:cs="Arial"/>
          <w:sz w:val="22"/>
        </w:rPr>
      </w:pPr>
      <w:r w:rsidRPr="007F2875">
        <w:rPr>
          <w:rFonts w:cs="Arial"/>
          <w:sz w:val="22"/>
        </w:rPr>
        <w:t>Massachusetts General Law Chapter 44; Section 55B</w:t>
      </w:r>
    </w:p>
    <w:p w:rsidR="00756C33" w:rsidRPr="007F2875" w:rsidRDefault="00756C33">
      <w:pPr>
        <w:rPr>
          <w:rFonts w:cs="Arial"/>
          <w:sz w:val="22"/>
        </w:rPr>
      </w:pPr>
    </w:p>
    <w:p w:rsidR="00034B09" w:rsidRPr="007F2875" w:rsidRDefault="00034B09">
      <w:pPr>
        <w:rPr>
          <w:rFonts w:cs="Arial Black"/>
          <w:sz w:val="22"/>
          <w:szCs w:val="24"/>
        </w:rPr>
      </w:pPr>
      <w:r w:rsidRPr="007F2875">
        <w:rPr>
          <w:rFonts w:cs="Arial Black"/>
          <w:bCs/>
          <w:sz w:val="22"/>
          <w:szCs w:val="24"/>
        </w:rPr>
        <w:t xml:space="preserve">II.   The Investment of </w:t>
      </w:r>
      <w:r w:rsidR="00555452" w:rsidRPr="007F2875">
        <w:rPr>
          <w:rFonts w:cs="Arial Black"/>
          <w:bCs/>
          <w:sz w:val="22"/>
          <w:szCs w:val="24"/>
        </w:rPr>
        <w:t>Long Term Funds</w:t>
      </w:r>
    </w:p>
    <w:p w:rsidR="007F2875" w:rsidRPr="007F2875" w:rsidRDefault="007F2875">
      <w:pPr>
        <w:rPr>
          <w:rFonts w:cs="Arial"/>
          <w:sz w:val="22"/>
        </w:rPr>
      </w:pPr>
    </w:p>
    <w:p w:rsidR="00034B09" w:rsidRPr="007F2875" w:rsidRDefault="00034B09">
      <w:pPr>
        <w:pStyle w:val="Heading3"/>
        <w:ind w:firstLine="0"/>
        <w:rPr>
          <w:rFonts w:cs="Arial"/>
          <w:b w:val="0"/>
          <w:sz w:val="22"/>
          <w:u w:val="none"/>
        </w:rPr>
      </w:pPr>
      <w:r w:rsidRPr="007F2875">
        <w:rPr>
          <w:rFonts w:cs="Arial"/>
          <w:b w:val="0"/>
          <w:sz w:val="22"/>
          <w:u w:val="none"/>
        </w:rPr>
        <w:t>A.  Scope</w:t>
      </w:r>
    </w:p>
    <w:p w:rsidR="00034B09" w:rsidRPr="007F2875" w:rsidRDefault="00034B09">
      <w:pPr>
        <w:rPr>
          <w:rFonts w:cs="Arial"/>
          <w:bCs/>
          <w:sz w:val="22"/>
          <w:szCs w:val="24"/>
        </w:rPr>
      </w:pPr>
    </w:p>
    <w:p w:rsidR="008F5639" w:rsidRPr="00222D86" w:rsidRDefault="008F5639" w:rsidP="00222D86">
      <w:pPr>
        <w:ind w:firstLine="720"/>
        <w:jc w:val="both"/>
        <w:rPr>
          <w:rFonts w:cs="Arial"/>
          <w:color w:val="000000"/>
          <w:sz w:val="22"/>
        </w:rPr>
      </w:pPr>
      <w:r w:rsidRPr="007F2875">
        <w:rPr>
          <w:rFonts w:cs="Arial"/>
          <w:color w:val="000000"/>
          <w:sz w:val="22"/>
        </w:rPr>
        <w:t>This section of the IPS applies only to funds that are designated as long term, i.e. trust funds, stabilization f</w:t>
      </w:r>
      <w:r w:rsidR="00222D86">
        <w:rPr>
          <w:rFonts w:cs="Arial"/>
          <w:color w:val="000000"/>
          <w:sz w:val="22"/>
        </w:rPr>
        <w:t>unds, cemetery perpetual care, Community Preservation A</w:t>
      </w:r>
      <w:r w:rsidRPr="007F2875">
        <w:rPr>
          <w:rFonts w:cs="Arial"/>
          <w:color w:val="000000"/>
          <w:sz w:val="22"/>
        </w:rPr>
        <w:t>ct a</w:t>
      </w:r>
      <w:r w:rsidR="00222D86">
        <w:rPr>
          <w:rFonts w:cs="Arial"/>
          <w:color w:val="000000"/>
          <w:sz w:val="22"/>
        </w:rPr>
        <w:t>nd other funds the town has</w:t>
      </w:r>
      <w:r w:rsidRPr="007F2875">
        <w:rPr>
          <w:rFonts w:cs="Arial"/>
          <w:color w:val="000000"/>
          <w:sz w:val="22"/>
        </w:rPr>
        <w:t xml:space="preserve"> set aside for long term use.  </w:t>
      </w:r>
    </w:p>
    <w:p w:rsidR="00034B09" w:rsidRPr="007F2875" w:rsidRDefault="00034B09" w:rsidP="007F2875">
      <w:pPr>
        <w:ind w:firstLine="720"/>
        <w:jc w:val="both"/>
        <w:rPr>
          <w:rFonts w:cs="Arial"/>
          <w:sz w:val="22"/>
        </w:rPr>
      </w:pPr>
      <w:r w:rsidRPr="007F2875">
        <w:rPr>
          <w:rFonts w:cs="Arial"/>
          <w:sz w:val="22"/>
        </w:rPr>
        <w:t xml:space="preserve">All accounts will be maintained separately receiving their proportionate interest and any realized and unrealized gains or losses. The account </w:t>
      </w:r>
      <w:r w:rsidR="00ED6DFA" w:rsidRPr="00756C33">
        <w:rPr>
          <w:rFonts w:cs="Arial"/>
          <w:sz w:val="22"/>
        </w:rPr>
        <w:t>may</w:t>
      </w:r>
      <w:r w:rsidR="00ED6DFA">
        <w:rPr>
          <w:rFonts w:cs="Arial"/>
          <w:sz w:val="22"/>
        </w:rPr>
        <w:t xml:space="preserve"> </w:t>
      </w:r>
      <w:r w:rsidRPr="007F2875">
        <w:rPr>
          <w:rFonts w:cs="Arial"/>
          <w:sz w:val="22"/>
        </w:rPr>
        <w:t>be established as a pooled investment portfolio unless otherwise stated. Any additional accounts will be maintained in this same manner.</w:t>
      </w:r>
    </w:p>
    <w:p w:rsidR="007F2875" w:rsidRDefault="007F2875">
      <w:pPr>
        <w:rPr>
          <w:rFonts w:cs="Arial"/>
          <w:sz w:val="22"/>
        </w:rPr>
      </w:pPr>
    </w:p>
    <w:p w:rsidR="00222D86" w:rsidRDefault="00222D86">
      <w:pPr>
        <w:rPr>
          <w:rFonts w:cs="Arial"/>
          <w:sz w:val="22"/>
        </w:rPr>
      </w:pPr>
    </w:p>
    <w:p w:rsidR="00222D86" w:rsidRPr="007F2875" w:rsidRDefault="00222D86">
      <w:pPr>
        <w:rPr>
          <w:rFonts w:cs="Arial"/>
          <w:sz w:val="22"/>
        </w:rPr>
      </w:pPr>
    </w:p>
    <w:p w:rsidR="00034B09" w:rsidRPr="007F2875" w:rsidRDefault="00034B09">
      <w:pPr>
        <w:rPr>
          <w:rFonts w:cs="Arial"/>
          <w:bCs/>
          <w:sz w:val="22"/>
          <w:szCs w:val="24"/>
        </w:rPr>
      </w:pPr>
      <w:r w:rsidRPr="007F2875">
        <w:rPr>
          <w:rFonts w:cs="Arial"/>
          <w:bCs/>
          <w:sz w:val="22"/>
          <w:szCs w:val="24"/>
        </w:rPr>
        <w:lastRenderedPageBreak/>
        <w:t>B.     Authority</w:t>
      </w:r>
    </w:p>
    <w:p w:rsidR="00034B09" w:rsidRPr="007F2875" w:rsidRDefault="00034B09">
      <w:pPr>
        <w:rPr>
          <w:rFonts w:cs="Arial"/>
          <w:bCs/>
          <w:sz w:val="22"/>
          <w:szCs w:val="24"/>
        </w:rPr>
      </w:pPr>
    </w:p>
    <w:p w:rsidR="00034B09" w:rsidRPr="00756C33" w:rsidRDefault="00034B09" w:rsidP="004E3A23">
      <w:pPr>
        <w:ind w:firstLine="720"/>
        <w:jc w:val="both"/>
        <w:rPr>
          <w:rFonts w:cs="Arial"/>
          <w:sz w:val="22"/>
        </w:rPr>
      </w:pPr>
      <w:r w:rsidRPr="00756C33">
        <w:rPr>
          <w:rFonts w:cs="Arial"/>
          <w:sz w:val="22"/>
        </w:rPr>
        <w:t>Massachusetts General Law Chapter 44, section 54 pertains to the i</w:t>
      </w:r>
      <w:r w:rsidR="00D14250" w:rsidRPr="00756C33">
        <w:rPr>
          <w:rFonts w:cs="Arial"/>
          <w:sz w:val="22"/>
        </w:rPr>
        <w:t xml:space="preserve">nvestment of Trust Funds, Chapter 40 Section 5B pertains to the investment of Stabilization Funds and, Chapter 44B section 7 pertains to the investments of Community Preservation Funds. </w:t>
      </w:r>
      <w:r w:rsidRPr="00756C33">
        <w:rPr>
          <w:rFonts w:cs="Arial"/>
          <w:sz w:val="22"/>
        </w:rPr>
        <w:t xml:space="preserve">All trust funds shall fall under the control of the </w:t>
      </w:r>
      <w:r w:rsidR="00222D86">
        <w:rPr>
          <w:rFonts w:cs="Arial"/>
          <w:sz w:val="22"/>
        </w:rPr>
        <w:t>town</w:t>
      </w:r>
      <w:r w:rsidR="00AA055A" w:rsidRPr="00756C33">
        <w:rPr>
          <w:rFonts w:cs="Arial"/>
          <w:sz w:val="22"/>
        </w:rPr>
        <w:t>’s</w:t>
      </w:r>
      <w:r w:rsidRPr="00756C33">
        <w:rPr>
          <w:rFonts w:cs="Arial"/>
          <w:sz w:val="22"/>
        </w:rPr>
        <w:t xml:space="preserve"> Treasurer unless otherwise provided or directed by the donor.</w:t>
      </w:r>
    </w:p>
    <w:p w:rsidR="00D14250" w:rsidRPr="00756C33" w:rsidRDefault="00D14250" w:rsidP="004E3A23">
      <w:pPr>
        <w:ind w:firstLine="720"/>
        <w:jc w:val="both"/>
        <w:rPr>
          <w:rFonts w:cs="Arial"/>
          <w:sz w:val="22"/>
        </w:rPr>
      </w:pPr>
    </w:p>
    <w:p w:rsidR="00D14250" w:rsidRPr="00756C33" w:rsidRDefault="00D14250" w:rsidP="004E3A23">
      <w:pPr>
        <w:ind w:firstLine="720"/>
        <w:jc w:val="both"/>
        <w:rPr>
          <w:rFonts w:cs="Arial"/>
          <w:sz w:val="22"/>
        </w:rPr>
      </w:pPr>
      <w:r w:rsidRPr="00756C33">
        <w:rPr>
          <w:rFonts w:cs="Arial"/>
          <w:sz w:val="22"/>
        </w:rPr>
        <w:t xml:space="preserve">If the trust fund results from a gift, grant or bequest from a private donor, and the private donor specifies how the trust shall be </w:t>
      </w:r>
      <w:r w:rsidR="00267DD5" w:rsidRPr="00756C33">
        <w:rPr>
          <w:rFonts w:cs="Arial"/>
          <w:sz w:val="22"/>
        </w:rPr>
        <w:t>invested; the trust fund shall be invested</w:t>
      </w:r>
      <w:r w:rsidRPr="00756C33">
        <w:rPr>
          <w:rFonts w:cs="Arial"/>
          <w:sz w:val="22"/>
        </w:rPr>
        <w:t xml:space="preserve"> in accordance with the terms of the gift, grant or bequest. If there is a conflict between such donor terms and this </w:t>
      </w:r>
      <w:r w:rsidR="00267DD5" w:rsidRPr="00756C33">
        <w:rPr>
          <w:rFonts w:cs="Arial"/>
          <w:sz w:val="22"/>
        </w:rPr>
        <w:t>Section II, the donor terms shall govern, subject to the general principles of prudence set forth in the Policy.</w:t>
      </w:r>
    </w:p>
    <w:p w:rsidR="00034B09" w:rsidRPr="007F2875" w:rsidRDefault="00034B09" w:rsidP="00222D86">
      <w:pPr>
        <w:rPr>
          <w:rFonts w:cs="Arial"/>
          <w:sz w:val="22"/>
        </w:rPr>
      </w:pPr>
      <w:r w:rsidRPr="007F2875">
        <w:rPr>
          <w:rFonts w:cs="Arial"/>
          <w:sz w:val="22"/>
        </w:rPr>
        <w:tab/>
      </w:r>
    </w:p>
    <w:p w:rsidR="00034B09" w:rsidRPr="007F2875" w:rsidRDefault="008E64F7">
      <w:pPr>
        <w:tabs>
          <w:tab w:val="left" w:pos="1080"/>
        </w:tabs>
        <w:rPr>
          <w:rFonts w:cs="Arial"/>
          <w:bCs/>
          <w:sz w:val="22"/>
          <w:szCs w:val="24"/>
        </w:rPr>
      </w:pPr>
      <w:r w:rsidRPr="007F2875">
        <w:rPr>
          <w:rFonts w:cs="Arial"/>
          <w:bCs/>
          <w:sz w:val="22"/>
          <w:szCs w:val="24"/>
        </w:rPr>
        <w:t>C</w:t>
      </w:r>
      <w:r w:rsidR="00034B09" w:rsidRPr="007F2875">
        <w:rPr>
          <w:rFonts w:cs="Arial"/>
          <w:bCs/>
          <w:sz w:val="22"/>
          <w:szCs w:val="24"/>
        </w:rPr>
        <w:t>.  Investment Instruments</w:t>
      </w:r>
    </w:p>
    <w:p w:rsidR="00034B09" w:rsidRPr="007F2875" w:rsidRDefault="00034B09">
      <w:pPr>
        <w:ind w:left="720"/>
        <w:rPr>
          <w:rFonts w:cs="Arial"/>
          <w:bCs/>
          <w:sz w:val="22"/>
          <w:szCs w:val="24"/>
        </w:rPr>
      </w:pPr>
    </w:p>
    <w:p w:rsidR="00034B09" w:rsidRPr="007F2875" w:rsidRDefault="00034B09" w:rsidP="004E3A23">
      <w:pPr>
        <w:pStyle w:val="Heading1"/>
        <w:ind w:firstLine="720"/>
        <w:jc w:val="both"/>
        <w:rPr>
          <w:rFonts w:cs="Arial"/>
          <w:sz w:val="22"/>
          <w:szCs w:val="20"/>
        </w:rPr>
      </w:pPr>
      <w:r w:rsidRPr="007F2875">
        <w:rPr>
          <w:rFonts w:cs="Arial"/>
          <w:sz w:val="22"/>
          <w:szCs w:val="20"/>
        </w:rPr>
        <w:t>M.G.L. Chapter 44 section 54 states that money should be deposited into savings bank, trust companies incorporated under the laws of the Commonwealth, banking companies incorporated under the laws of the Commonwealth which are members of the Federal Deposit Insurance Corporation, or national banks, or invested in participation units in a combined investment fund under section thirty-eight A of chapter twenty-nine, or in a paid–up shares and accounts of and in co-operative banks, or in shares of savings and loan associations or in share or savings deposits of federal savings and loan asso</w:t>
      </w:r>
      <w:r w:rsidR="007116B5">
        <w:rPr>
          <w:rFonts w:cs="Arial"/>
          <w:sz w:val="22"/>
          <w:szCs w:val="20"/>
        </w:rPr>
        <w:t>ciations doing business in the C</w:t>
      </w:r>
      <w:r w:rsidRPr="007F2875">
        <w:rPr>
          <w:rFonts w:cs="Arial"/>
          <w:sz w:val="22"/>
          <w:szCs w:val="20"/>
        </w:rPr>
        <w:t>ommonwealth.</w:t>
      </w:r>
    </w:p>
    <w:p w:rsidR="00034B09" w:rsidRPr="007F2875" w:rsidRDefault="00034B09" w:rsidP="004E3A23">
      <w:pPr>
        <w:ind w:firstLine="720"/>
        <w:jc w:val="both"/>
        <w:rPr>
          <w:rFonts w:cs="Arial"/>
          <w:sz w:val="22"/>
        </w:rPr>
      </w:pPr>
    </w:p>
    <w:p w:rsidR="00034B09" w:rsidRPr="007F2875" w:rsidRDefault="00034B09" w:rsidP="004E3A23">
      <w:pPr>
        <w:ind w:firstLine="720"/>
        <w:jc w:val="both"/>
        <w:rPr>
          <w:rFonts w:cs="Arial"/>
          <w:sz w:val="22"/>
        </w:rPr>
      </w:pPr>
      <w:r w:rsidRPr="007F2875">
        <w:rPr>
          <w:rFonts w:cs="Arial"/>
          <w:sz w:val="22"/>
        </w:rPr>
        <w:t xml:space="preserve">Additionally the </w:t>
      </w:r>
      <w:r w:rsidR="00222D86">
        <w:rPr>
          <w:rFonts w:cs="Arial"/>
          <w:sz w:val="22"/>
        </w:rPr>
        <w:t>town</w:t>
      </w:r>
      <w:r w:rsidRPr="007F2875">
        <w:rPr>
          <w:rFonts w:cs="Arial"/>
          <w:sz w:val="22"/>
        </w:rPr>
        <w:t xml:space="preserve"> may invest</w:t>
      </w:r>
      <w:r w:rsidRPr="007F2875">
        <w:rPr>
          <w:rFonts w:cs="Arial"/>
          <w:sz w:val="22"/>
          <w:szCs w:val="24"/>
        </w:rPr>
        <w:t xml:space="preserve"> </w:t>
      </w:r>
      <w:r w:rsidRPr="007F2875">
        <w:rPr>
          <w:rFonts w:cs="Arial"/>
          <w:sz w:val="22"/>
        </w:rPr>
        <w:t>such funds in securities, other than mortgages or collateral loans, which are legal for the investment of funds of savin</w:t>
      </w:r>
      <w:r w:rsidR="00222D86">
        <w:rPr>
          <w:rFonts w:cs="Arial"/>
          <w:sz w:val="22"/>
        </w:rPr>
        <w:t>gs banks under the laws of the C</w:t>
      </w:r>
      <w:r w:rsidRPr="007F2875">
        <w:rPr>
          <w:rFonts w:cs="Arial"/>
          <w:sz w:val="22"/>
        </w:rPr>
        <w:t xml:space="preserve">ommonwealth; provided, that not more than fifteen percent (15%) of any such trust funds shall be invested in bank stocks and insurance company stocks, nor shall more than one and one-half percent (1 ½%) of such funds be invested in the stock of any one bank or insurance company.  </w:t>
      </w:r>
    </w:p>
    <w:p w:rsidR="00034B09" w:rsidRPr="007F2875" w:rsidRDefault="00034B09" w:rsidP="004E3A23">
      <w:pPr>
        <w:pStyle w:val="Footer"/>
        <w:tabs>
          <w:tab w:val="clear" w:pos="4320"/>
          <w:tab w:val="clear" w:pos="8640"/>
        </w:tabs>
        <w:ind w:firstLine="720"/>
        <w:jc w:val="both"/>
        <w:rPr>
          <w:rFonts w:cs="Arial"/>
          <w:sz w:val="22"/>
        </w:rPr>
      </w:pPr>
    </w:p>
    <w:p w:rsidR="00034B09" w:rsidRPr="007F2875" w:rsidRDefault="00034B09" w:rsidP="004E3A23">
      <w:pPr>
        <w:ind w:firstLine="720"/>
        <w:jc w:val="both"/>
        <w:rPr>
          <w:rFonts w:cs="Arial"/>
          <w:bCs/>
          <w:sz w:val="22"/>
        </w:rPr>
      </w:pPr>
      <w:r w:rsidRPr="007F2875">
        <w:rPr>
          <w:rFonts w:cs="Arial"/>
          <w:bCs/>
          <w:sz w:val="22"/>
        </w:rPr>
        <w:t xml:space="preserve">The Treasurer may invest in the following instruments:  </w:t>
      </w:r>
    </w:p>
    <w:p w:rsidR="00034B09" w:rsidRPr="007F2875" w:rsidRDefault="00034B09">
      <w:pPr>
        <w:rPr>
          <w:rFonts w:cs="Arial"/>
          <w:sz w:val="22"/>
        </w:rPr>
      </w:pPr>
    </w:p>
    <w:p w:rsidR="00034B09" w:rsidRPr="007F2875" w:rsidRDefault="00034B09" w:rsidP="00756C33">
      <w:pPr>
        <w:numPr>
          <w:ilvl w:val="0"/>
          <w:numId w:val="26"/>
        </w:numPr>
        <w:tabs>
          <w:tab w:val="left" w:pos="1080"/>
        </w:tabs>
        <w:jc w:val="both"/>
        <w:rPr>
          <w:rFonts w:cs="Arial"/>
          <w:bCs/>
          <w:sz w:val="22"/>
        </w:rPr>
      </w:pPr>
      <w:r w:rsidRPr="007F2875">
        <w:rPr>
          <w:rFonts w:cs="Arial"/>
          <w:sz w:val="22"/>
        </w:rPr>
        <w:t xml:space="preserve">U. S. Treasuries that maybe sold prior to maturity:  </w:t>
      </w:r>
      <w:r w:rsidRPr="007F2875">
        <w:rPr>
          <w:rFonts w:cs="Arial"/>
          <w:bCs/>
          <w:sz w:val="22"/>
          <w:u w:val="single"/>
        </w:rPr>
        <w:t>Unlimited amounts</w:t>
      </w:r>
      <w:r w:rsidRPr="007F2875">
        <w:rPr>
          <w:rFonts w:cs="Arial"/>
          <w:bCs/>
          <w:sz w:val="22"/>
        </w:rPr>
        <w:t xml:space="preserve"> (With no limit to the length of maturity from date of purchase)</w:t>
      </w:r>
    </w:p>
    <w:p w:rsidR="00034B09" w:rsidRPr="007F2875" w:rsidRDefault="00034B09" w:rsidP="00756C33">
      <w:pPr>
        <w:numPr>
          <w:ilvl w:val="0"/>
          <w:numId w:val="26"/>
        </w:numPr>
        <w:tabs>
          <w:tab w:val="left" w:pos="1080"/>
        </w:tabs>
        <w:jc w:val="both"/>
        <w:rPr>
          <w:rFonts w:cs="Arial"/>
          <w:bCs/>
          <w:sz w:val="22"/>
        </w:rPr>
      </w:pPr>
      <w:r w:rsidRPr="007F2875">
        <w:rPr>
          <w:rFonts w:cs="Arial"/>
          <w:sz w:val="22"/>
        </w:rPr>
        <w:t xml:space="preserve">U.S. Agency obligations that maybe sold prior to maturity.  </w:t>
      </w:r>
      <w:r w:rsidRPr="007F2875">
        <w:rPr>
          <w:rFonts w:cs="Arial"/>
          <w:bCs/>
          <w:sz w:val="22"/>
          <w:u w:val="single"/>
        </w:rPr>
        <w:t>Unlimited amounts</w:t>
      </w:r>
      <w:r w:rsidRPr="007F2875">
        <w:rPr>
          <w:rFonts w:cs="Arial"/>
          <w:bCs/>
          <w:sz w:val="22"/>
        </w:rPr>
        <w:t xml:space="preserve"> (With no limit to the length of maturity from date of purchase)</w:t>
      </w:r>
    </w:p>
    <w:p w:rsidR="00034B09" w:rsidRPr="007F2875" w:rsidRDefault="00034B09" w:rsidP="00756C33">
      <w:pPr>
        <w:numPr>
          <w:ilvl w:val="0"/>
          <w:numId w:val="26"/>
        </w:numPr>
        <w:tabs>
          <w:tab w:val="left" w:pos="1080"/>
        </w:tabs>
        <w:jc w:val="both"/>
        <w:rPr>
          <w:rFonts w:cs="Arial"/>
          <w:sz w:val="22"/>
        </w:rPr>
      </w:pPr>
      <w:r w:rsidRPr="007F2875">
        <w:rPr>
          <w:rFonts w:cs="Arial"/>
          <w:sz w:val="22"/>
        </w:rPr>
        <w:t xml:space="preserve">Bank accounts or Certificates of Deposit (“CDs”) </w:t>
      </w:r>
      <w:r w:rsidRPr="007F2875">
        <w:rPr>
          <w:rFonts w:cs="Arial"/>
          <w:bCs/>
          <w:sz w:val="22"/>
          <w:u w:val="single"/>
        </w:rPr>
        <w:t>Unlimited amounts</w:t>
      </w:r>
      <w:r w:rsidRPr="007F2875">
        <w:rPr>
          <w:rFonts w:cs="Arial"/>
          <w:bCs/>
          <w:sz w:val="22"/>
        </w:rPr>
        <w:t xml:space="preserve">  (With no limit to the length of maturity from date of purchase)</w:t>
      </w:r>
      <w:r w:rsidRPr="007F2875">
        <w:rPr>
          <w:rFonts w:cs="Arial"/>
          <w:sz w:val="22"/>
        </w:rPr>
        <w:t xml:space="preserve">, which is fully collateralized through a third party agreement:  </w:t>
      </w:r>
    </w:p>
    <w:p w:rsidR="00034B09" w:rsidRPr="007F2875" w:rsidRDefault="00034B09" w:rsidP="00756C33">
      <w:pPr>
        <w:numPr>
          <w:ilvl w:val="0"/>
          <w:numId w:val="26"/>
        </w:numPr>
        <w:tabs>
          <w:tab w:val="left" w:pos="1080"/>
        </w:tabs>
        <w:jc w:val="both"/>
        <w:rPr>
          <w:rFonts w:cs="Arial"/>
          <w:sz w:val="22"/>
        </w:rPr>
      </w:pPr>
      <w:r w:rsidRPr="007F2875">
        <w:rPr>
          <w:rFonts w:cs="Arial"/>
          <w:sz w:val="22"/>
        </w:rPr>
        <w:t xml:space="preserve">Bank accounts and CDs </w:t>
      </w:r>
      <w:r w:rsidRPr="007F2875">
        <w:rPr>
          <w:rFonts w:cs="Arial"/>
          <w:bCs/>
          <w:sz w:val="22"/>
        </w:rPr>
        <w:t>(With no limit to the length of maturity from date of purchase)</w:t>
      </w:r>
      <w:r w:rsidRPr="007F2875">
        <w:rPr>
          <w:rFonts w:cs="Arial"/>
          <w:sz w:val="22"/>
        </w:rPr>
        <w:t xml:space="preserve"> fully insured by F.D.I.C. and in some cases also Depository Insurance Fund of Massachusetts (D.I.F.):  All bank accounts and CDs in one institution are considered in the aggregate to receive the insurance coverage limit.</w:t>
      </w:r>
    </w:p>
    <w:p w:rsidR="00034B09" w:rsidRPr="007F2875" w:rsidRDefault="00034B09" w:rsidP="00756C33">
      <w:pPr>
        <w:numPr>
          <w:ilvl w:val="0"/>
          <w:numId w:val="26"/>
        </w:numPr>
        <w:tabs>
          <w:tab w:val="left" w:pos="1080"/>
        </w:tabs>
        <w:jc w:val="both"/>
        <w:rPr>
          <w:rFonts w:cs="Arial"/>
          <w:sz w:val="22"/>
        </w:rPr>
      </w:pPr>
      <w:r w:rsidRPr="007F2875">
        <w:rPr>
          <w:rFonts w:cs="Arial"/>
          <w:bCs/>
          <w:sz w:val="22"/>
        </w:rPr>
        <w:t>Unsecured bank deposits</w:t>
      </w:r>
      <w:r w:rsidRPr="007F2875">
        <w:rPr>
          <w:rFonts w:cs="Arial"/>
          <w:sz w:val="22"/>
        </w:rPr>
        <w:t xml:space="preserve"> of any kind such as other checking, savings, money market, or Certificates of Deposit accounts at Banks that do not fit the above categories.  These investments are subject to the following limitations:  These investments </w:t>
      </w:r>
      <w:r w:rsidRPr="007F2875">
        <w:rPr>
          <w:rFonts w:cs="Arial"/>
          <w:bCs/>
          <w:sz w:val="22"/>
        </w:rPr>
        <w:t>will be limited to no more than 5% of an institution's assets and no more than 25% of a municipality's cash</w:t>
      </w:r>
      <w:r w:rsidRPr="007F2875">
        <w:rPr>
          <w:rFonts w:cs="Arial"/>
          <w:sz w:val="22"/>
        </w:rPr>
        <w:t xml:space="preserve">. This percentage may be increase for not more than 30 days during times of heavy collection or in anticipation of large payments that will be made by the </w:t>
      </w:r>
      <w:r w:rsidR="00AA055A" w:rsidRPr="007F2875">
        <w:rPr>
          <w:rFonts w:cs="Arial"/>
          <w:sz w:val="22"/>
        </w:rPr>
        <w:t>Community</w:t>
      </w:r>
      <w:r w:rsidRPr="007F2875">
        <w:rPr>
          <w:rFonts w:cs="Arial"/>
          <w:sz w:val="22"/>
        </w:rPr>
        <w:t xml:space="preserve"> in the near future. These payments maybe for such items as debt service payment or regional school assessments. Their credit worthiness will </w:t>
      </w:r>
      <w:r w:rsidR="00222D86">
        <w:rPr>
          <w:rFonts w:cs="Arial"/>
          <w:sz w:val="22"/>
        </w:rPr>
        <w:t>be tracked by a</w:t>
      </w:r>
      <w:r w:rsidRPr="007F2875">
        <w:rPr>
          <w:rFonts w:cs="Arial"/>
          <w:sz w:val="22"/>
        </w:rPr>
        <w:t xml:space="preserve"> bank credit worthiness reporting systems.  They will be diversified as much as possible.  CDs will be purchased with no limit to the length of maturity from the date of purchase and will be reviewed frequently.</w:t>
      </w:r>
    </w:p>
    <w:p w:rsidR="00034B09" w:rsidRPr="007F2875" w:rsidRDefault="00034B09" w:rsidP="00756C33">
      <w:pPr>
        <w:numPr>
          <w:ilvl w:val="0"/>
          <w:numId w:val="26"/>
        </w:numPr>
        <w:tabs>
          <w:tab w:val="left" w:pos="1080"/>
        </w:tabs>
        <w:jc w:val="both"/>
        <w:rPr>
          <w:rFonts w:cs="Arial"/>
          <w:sz w:val="22"/>
        </w:rPr>
      </w:pPr>
      <w:r w:rsidRPr="007F2875">
        <w:rPr>
          <w:rFonts w:cs="Arial"/>
          <w:sz w:val="22"/>
        </w:rPr>
        <w:t xml:space="preserve">Common and preferred stock that are listed in the </w:t>
      </w:r>
      <w:r w:rsidRPr="007F2875">
        <w:rPr>
          <w:rFonts w:cs="Arial"/>
          <w:bCs/>
          <w:sz w:val="22"/>
          <w:u w:val="single"/>
        </w:rPr>
        <w:t>List of Legal Investments.</w:t>
      </w:r>
    </w:p>
    <w:p w:rsidR="00034B09" w:rsidRPr="007F2875" w:rsidRDefault="00034B09" w:rsidP="00756C33">
      <w:pPr>
        <w:numPr>
          <w:ilvl w:val="0"/>
          <w:numId w:val="26"/>
        </w:numPr>
        <w:tabs>
          <w:tab w:val="left" w:pos="1080"/>
        </w:tabs>
        <w:jc w:val="both"/>
        <w:rPr>
          <w:rFonts w:cs="Arial"/>
          <w:sz w:val="22"/>
        </w:rPr>
      </w:pPr>
      <w:r w:rsidRPr="007F2875">
        <w:rPr>
          <w:rFonts w:cs="Arial"/>
          <w:sz w:val="22"/>
        </w:rPr>
        <w:t>Investment Funds that are listed in the</w:t>
      </w:r>
      <w:r w:rsidRPr="007F2875">
        <w:rPr>
          <w:rFonts w:cs="Arial"/>
          <w:bCs/>
          <w:sz w:val="22"/>
          <w:u w:val="single"/>
        </w:rPr>
        <w:t xml:space="preserve"> List of Legal Investments.</w:t>
      </w:r>
    </w:p>
    <w:p w:rsidR="00034B09" w:rsidRPr="007F2875" w:rsidRDefault="00034B09" w:rsidP="00756C33">
      <w:pPr>
        <w:numPr>
          <w:ilvl w:val="0"/>
          <w:numId w:val="26"/>
        </w:numPr>
        <w:tabs>
          <w:tab w:val="left" w:pos="1080"/>
        </w:tabs>
        <w:jc w:val="both"/>
        <w:rPr>
          <w:rFonts w:cs="Arial"/>
          <w:sz w:val="22"/>
        </w:rPr>
      </w:pPr>
      <w:r w:rsidRPr="007F2875">
        <w:rPr>
          <w:rFonts w:cs="Arial"/>
          <w:sz w:val="22"/>
        </w:rPr>
        <w:t>All other items not separately identified here that are listed in the</w:t>
      </w:r>
      <w:r w:rsidRPr="007F2875">
        <w:rPr>
          <w:rFonts w:cs="Arial"/>
          <w:bCs/>
          <w:sz w:val="22"/>
          <w:u w:val="single"/>
        </w:rPr>
        <w:t xml:space="preserve"> List of Legal Investments.</w:t>
      </w:r>
    </w:p>
    <w:p w:rsidR="00034B09" w:rsidRPr="007F2875" w:rsidRDefault="00034B09">
      <w:pPr>
        <w:tabs>
          <w:tab w:val="left" w:pos="1080"/>
        </w:tabs>
        <w:ind w:left="360"/>
        <w:rPr>
          <w:rFonts w:cs="Arial"/>
          <w:sz w:val="22"/>
        </w:rPr>
      </w:pPr>
    </w:p>
    <w:p w:rsidR="00034B09" w:rsidRPr="007F2875" w:rsidRDefault="00034B09">
      <w:pPr>
        <w:pStyle w:val="Footer"/>
        <w:tabs>
          <w:tab w:val="clear" w:pos="4320"/>
          <w:tab w:val="clear" w:pos="8640"/>
        </w:tabs>
        <w:rPr>
          <w:rFonts w:cs="Arial"/>
          <w:sz w:val="22"/>
        </w:rPr>
      </w:pPr>
    </w:p>
    <w:p w:rsidR="00034B09" w:rsidRPr="007F2875" w:rsidRDefault="00AA055A">
      <w:pPr>
        <w:rPr>
          <w:rFonts w:cs="Arial"/>
          <w:bCs/>
          <w:sz w:val="22"/>
          <w:szCs w:val="24"/>
        </w:rPr>
      </w:pPr>
      <w:r w:rsidRPr="007F2875">
        <w:rPr>
          <w:rFonts w:cs="Arial"/>
          <w:bCs/>
          <w:sz w:val="22"/>
          <w:szCs w:val="24"/>
        </w:rPr>
        <w:t>D</w:t>
      </w:r>
      <w:r w:rsidR="00034B09" w:rsidRPr="007F2875">
        <w:rPr>
          <w:rFonts w:cs="Arial"/>
          <w:bCs/>
          <w:sz w:val="22"/>
          <w:szCs w:val="24"/>
        </w:rPr>
        <w:t>. Standards of Care</w:t>
      </w:r>
    </w:p>
    <w:p w:rsidR="00034B09" w:rsidRPr="007F2875" w:rsidRDefault="00034B09">
      <w:pPr>
        <w:rPr>
          <w:rFonts w:cs="Arial"/>
          <w:bCs/>
          <w:sz w:val="22"/>
          <w:szCs w:val="24"/>
        </w:rPr>
      </w:pPr>
    </w:p>
    <w:p w:rsidR="00034B09" w:rsidRPr="007F2875" w:rsidRDefault="00034B09" w:rsidP="004E3A23">
      <w:pPr>
        <w:ind w:firstLine="720"/>
        <w:jc w:val="both"/>
        <w:rPr>
          <w:rFonts w:cs="Arial"/>
          <w:sz w:val="22"/>
        </w:rPr>
      </w:pPr>
      <w:r w:rsidRPr="007F2875">
        <w:rPr>
          <w:rFonts w:cs="Arial"/>
          <w:sz w:val="22"/>
        </w:rPr>
        <w:t>The standard of prudence to be used by the Treasurer shall be the “Prudent Person” standard and shall be applied in the context of managing an overall portfolio. The Treasurer acting in accordance with written procedures and this IPS, and exercising reasonable due diligence, shall be relieved of personal responsibility for an individual security’s credit risk or market price changes, provided the purchases and sale of securities is carried out in accord</w:t>
      </w:r>
      <w:r w:rsidR="00ED6DFA">
        <w:rPr>
          <w:rFonts w:cs="Arial"/>
          <w:sz w:val="22"/>
        </w:rPr>
        <w:t xml:space="preserve">ance with the </w:t>
      </w:r>
      <w:r w:rsidR="00ED6DFA" w:rsidRPr="00756C33">
        <w:rPr>
          <w:rFonts w:cs="Arial"/>
          <w:sz w:val="22"/>
        </w:rPr>
        <w:t>terms of this IPS and the associated Massachusetts General Laws.</w:t>
      </w:r>
    </w:p>
    <w:p w:rsidR="00034B09" w:rsidRPr="007F2875" w:rsidRDefault="00034B09" w:rsidP="004E3A23">
      <w:pPr>
        <w:ind w:left="720" w:firstLine="720"/>
        <w:jc w:val="both"/>
        <w:rPr>
          <w:rFonts w:cs="Arial"/>
          <w:sz w:val="22"/>
        </w:rPr>
      </w:pPr>
    </w:p>
    <w:p w:rsidR="00034B09" w:rsidRPr="007F2875" w:rsidRDefault="00034B09" w:rsidP="004E3A23">
      <w:pPr>
        <w:ind w:firstLine="720"/>
        <w:jc w:val="both"/>
        <w:rPr>
          <w:rFonts w:cs="Arial"/>
          <w:sz w:val="22"/>
        </w:rPr>
      </w:pPr>
      <w:r w:rsidRPr="007F2875">
        <w:rPr>
          <w:rFonts w:cs="Arial"/>
          <w:sz w:val="22"/>
        </w:rPr>
        <w:t>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w:t>
      </w:r>
    </w:p>
    <w:p w:rsidR="00034B09" w:rsidRPr="007F2875" w:rsidRDefault="00034B09" w:rsidP="004E3A23">
      <w:pPr>
        <w:ind w:left="720" w:firstLine="720"/>
        <w:jc w:val="both"/>
        <w:rPr>
          <w:rFonts w:cs="Arial"/>
          <w:sz w:val="22"/>
        </w:rPr>
      </w:pPr>
    </w:p>
    <w:p w:rsidR="00034B09" w:rsidRPr="007F2875" w:rsidRDefault="00034B09" w:rsidP="004E3A23">
      <w:pPr>
        <w:ind w:firstLine="720"/>
        <w:jc w:val="both"/>
        <w:rPr>
          <w:rFonts w:cs="Arial"/>
          <w:sz w:val="22"/>
        </w:rPr>
      </w:pPr>
      <w:r w:rsidRPr="007F2875">
        <w:rPr>
          <w:rFonts w:cs="Arial"/>
          <w:sz w:val="22"/>
        </w:rPr>
        <w:t>In addition this section would also apply to M.G.L. Chapter 44 Section 55A which refers to the liability of the Treasurer for losses due to bankruptcy.</w:t>
      </w:r>
    </w:p>
    <w:p w:rsidR="004E3A23" w:rsidRPr="007F2875" w:rsidRDefault="004E3A23">
      <w:pPr>
        <w:ind w:left="720"/>
        <w:rPr>
          <w:rFonts w:cs="Arial"/>
          <w:sz w:val="22"/>
        </w:rPr>
      </w:pPr>
    </w:p>
    <w:p w:rsidR="00034B09" w:rsidRPr="007F2875" w:rsidRDefault="00AA055A">
      <w:pPr>
        <w:rPr>
          <w:rFonts w:cs="Arial"/>
          <w:sz w:val="22"/>
        </w:rPr>
      </w:pPr>
      <w:r w:rsidRPr="007F2875">
        <w:rPr>
          <w:rFonts w:cs="Arial"/>
          <w:bCs/>
          <w:sz w:val="22"/>
          <w:szCs w:val="24"/>
        </w:rPr>
        <w:t>E</w:t>
      </w:r>
      <w:r w:rsidR="00034B09" w:rsidRPr="007F2875">
        <w:rPr>
          <w:rFonts w:cs="Arial"/>
          <w:bCs/>
          <w:sz w:val="22"/>
          <w:szCs w:val="24"/>
        </w:rPr>
        <w:t>.  Diversification</w:t>
      </w:r>
    </w:p>
    <w:p w:rsidR="00034B09" w:rsidRPr="007F2875" w:rsidRDefault="00034B09">
      <w:pPr>
        <w:rPr>
          <w:rFonts w:cs="Arial"/>
          <w:sz w:val="22"/>
        </w:rPr>
      </w:pPr>
    </w:p>
    <w:p w:rsidR="00034B09" w:rsidRPr="007F2875" w:rsidRDefault="00034B09" w:rsidP="004E3A23">
      <w:pPr>
        <w:ind w:firstLine="720"/>
        <w:jc w:val="both"/>
        <w:rPr>
          <w:rFonts w:cs="Arial"/>
          <w:sz w:val="22"/>
        </w:rPr>
      </w:pPr>
      <w:r w:rsidRPr="007F2875">
        <w:rPr>
          <w:rFonts w:cs="Arial"/>
          <w:sz w:val="22"/>
        </w:rPr>
        <w:t>Diversification should be interpreted in two ways: in terms of maturity as well as instrument type and issuer.  The diversification concept should include prohibition against over concentration of maturities, as well as concentration in a specific institution, with the exception of U.S. Treasury obligations or investments fully collateralized by U.S. Treasuries or agencies.</w:t>
      </w:r>
    </w:p>
    <w:p w:rsidR="00B809CD" w:rsidRPr="007F2875" w:rsidRDefault="00B809CD">
      <w:pPr>
        <w:pStyle w:val="Heading2"/>
        <w:numPr>
          <w:ilvl w:val="0"/>
          <w:numId w:val="0"/>
        </w:numPr>
        <w:rPr>
          <w:rFonts w:cs="Arial"/>
          <w:b w:val="0"/>
          <w:sz w:val="22"/>
        </w:rPr>
      </w:pPr>
    </w:p>
    <w:p w:rsidR="00034B09" w:rsidRPr="007F2875" w:rsidRDefault="00680093">
      <w:pPr>
        <w:pStyle w:val="Heading2"/>
        <w:numPr>
          <w:ilvl w:val="0"/>
          <w:numId w:val="0"/>
        </w:numPr>
        <w:rPr>
          <w:rFonts w:cs="Arial"/>
          <w:b w:val="0"/>
          <w:sz w:val="22"/>
        </w:rPr>
      </w:pPr>
      <w:r w:rsidRPr="007F2875">
        <w:rPr>
          <w:rFonts w:cs="Arial"/>
          <w:b w:val="0"/>
          <w:sz w:val="22"/>
        </w:rPr>
        <w:t>F</w:t>
      </w:r>
      <w:r w:rsidR="00034B09" w:rsidRPr="007F2875">
        <w:rPr>
          <w:rFonts w:cs="Arial"/>
          <w:b w:val="0"/>
          <w:sz w:val="22"/>
        </w:rPr>
        <w:t>.  Legal References</w:t>
      </w:r>
    </w:p>
    <w:p w:rsidR="00267DD5" w:rsidRDefault="00267DD5" w:rsidP="004E3A23">
      <w:pPr>
        <w:ind w:left="720"/>
        <w:rPr>
          <w:rFonts w:cs="Arial"/>
          <w:sz w:val="22"/>
        </w:rPr>
      </w:pPr>
    </w:p>
    <w:p w:rsidR="00071EA0" w:rsidRPr="00756C33" w:rsidRDefault="00071EA0" w:rsidP="00071EA0">
      <w:pPr>
        <w:ind w:left="720"/>
        <w:rPr>
          <w:rFonts w:cs="Arial"/>
          <w:sz w:val="22"/>
        </w:rPr>
      </w:pPr>
      <w:r w:rsidRPr="00756C33">
        <w:rPr>
          <w:rFonts w:cs="Arial"/>
          <w:sz w:val="22"/>
        </w:rPr>
        <w:t>Massachusetts General Law Chapter 40, Section 5B</w:t>
      </w:r>
    </w:p>
    <w:p w:rsidR="00034B09" w:rsidRPr="007F2875" w:rsidRDefault="00034B09" w:rsidP="004E3A23">
      <w:pPr>
        <w:ind w:left="720"/>
        <w:rPr>
          <w:rFonts w:cs="Arial"/>
          <w:sz w:val="22"/>
        </w:rPr>
      </w:pPr>
      <w:r w:rsidRPr="007F2875">
        <w:rPr>
          <w:rFonts w:cs="Arial"/>
          <w:sz w:val="22"/>
        </w:rPr>
        <w:t>Massachusetts General Law Chapter 44, Section 54</w:t>
      </w:r>
    </w:p>
    <w:p w:rsidR="00034B09" w:rsidRPr="007F2875" w:rsidRDefault="00034B09" w:rsidP="004E3A23">
      <w:pPr>
        <w:ind w:left="720"/>
        <w:rPr>
          <w:rFonts w:cs="Arial"/>
          <w:sz w:val="22"/>
        </w:rPr>
      </w:pPr>
      <w:r w:rsidRPr="007F2875">
        <w:rPr>
          <w:rFonts w:cs="Arial"/>
          <w:sz w:val="22"/>
        </w:rPr>
        <w:t>Massachusetts General Law Chapter 44, Section 55A</w:t>
      </w:r>
    </w:p>
    <w:p w:rsidR="00034B09" w:rsidRDefault="00034B09" w:rsidP="004E3A23">
      <w:pPr>
        <w:ind w:left="720"/>
        <w:rPr>
          <w:rFonts w:cs="Arial"/>
          <w:sz w:val="22"/>
        </w:rPr>
      </w:pPr>
      <w:r w:rsidRPr="007F2875">
        <w:rPr>
          <w:rFonts w:cs="Arial"/>
          <w:sz w:val="22"/>
        </w:rPr>
        <w:t>Massachusetts General Law Chapter 44, Section 55B</w:t>
      </w:r>
    </w:p>
    <w:p w:rsidR="00071EA0" w:rsidRPr="00756C33" w:rsidRDefault="00071EA0" w:rsidP="00071EA0">
      <w:pPr>
        <w:ind w:left="720"/>
        <w:rPr>
          <w:rFonts w:cs="Arial"/>
          <w:sz w:val="22"/>
        </w:rPr>
      </w:pPr>
      <w:r w:rsidRPr="00756C33">
        <w:rPr>
          <w:rFonts w:cs="Arial"/>
          <w:sz w:val="22"/>
        </w:rPr>
        <w:t>Massachusetts General Law Chapter 44B, Section 7</w:t>
      </w:r>
    </w:p>
    <w:p w:rsidR="00034B09" w:rsidRDefault="00034B09">
      <w:pPr>
        <w:rPr>
          <w:rFonts w:cs="Arial"/>
          <w:sz w:val="22"/>
        </w:rPr>
      </w:pPr>
    </w:p>
    <w:p w:rsidR="00034B09" w:rsidRPr="007F2875" w:rsidRDefault="00034B09" w:rsidP="004E3A23">
      <w:pPr>
        <w:ind w:firstLine="720"/>
        <w:jc w:val="both"/>
        <w:rPr>
          <w:rFonts w:cs="Arial"/>
          <w:sz w:val="22"/>
        </w:rPr>
      </w:pPr>
      <w:r w:rsidRPr="007F2875">
        <w:rPr>
          <w:rFonts w:cs="Arial"/>
          <w:sz w:val="22"/>
        </w:rPr>
        <w:t>Trust Funds may be co-mingled and invested in any instruments allowed by the Commonwealth of Massachusetts list of Legal Investments Legal issued by the Banking Commissioner each July.  Each trust fund must be accounted for separately. Chapter 44 Section 54 sets forth that Treasurers may invest in instruments that are legal for savings banks. This list of investments is included in the Commonwealth of Massachusetts List of Legal Investments, Chapter 167 Section 15A.</w:t>
      </w:r>
    </w:p>
    <w:p w:rsidR="004B69FA" w:rsidRDefault="004B69FA" w:rsidP="008E64F7">
      <w:pPr>
        <w:rPr>
          <w:rFonts w:cs="Arial"/>
          <w:sz w:val="22"/>
          <w:szCs w:val="24"/>
        </w:rPr>
      </w:pPr>
    </w:p>
    <w:p w:rsidR="008E64F7" w:rsidRPr="00222D86" w:rsidRDefault="00014B0D" w:rsidP="00222D86">
      <w:pPr>
        <w:rPr>
          <w:rFonts w:cs="Arial"/>
          <w:sz w:val="22"/>
          <w:szCs w:val="24"/>
        </w:rPr>
      </w:pPr>
      <w:r w:rsidRPr="007F2875">
        <w:rPr>
          <w:rFonts w:cs="Arial"/>
          <w:sz w:val="22"/>
          <w:szCs w:val="24"/>
        </w:rPr>
        <w:t>III. General Provision</w:t>
      </w:r>
      <w:r w:rsidR="00680093" w:rsidRPr="007F2875">
        <w:rPr>
          <w:rFonts w:cs="Arial"/>
          <w:sz w:val="22"/>
          <w:szCs w:val="24"/>
        </w:rPr>
        <w:t>s</w:t>
      </w:r>
    </w:p>
    <w:p w:rsidR="004E3A23" w:rsidRPr="007F2875" w:rsidRDefault="004E3A23" w:rsidP="008E64F7">
      <w:pPr>
        <w:ind w:left="720"/>
        <w:rPr>
          <w:rFonts w:cs="Arial"/>
          <w:bCs/>
          <w:sz w:val="22"/>
        </w:rPr>
      </w:pPr>
    </w:p>
    <w:p w:rsidR="008E64F7" w:rsidRPr="007F2875" w:rsidRDefault="009B30DD" w:rsidP="008E64F7">
      <w:pPr>
        <w:rPr>
          <w:rFonts w:cs="Arial"/>
          <w:sz w:val="22"/>
        </w:rPr>
      </w:pPr>
      <w:r w:rsidRPr="007F2875">
        <w:rPr>
          <w:rFonts w:cs="Arial"/>
          <w:bCs/>
          <w:sz w:val="22"/>
          <w:szCs w:val="24"/>
        </w:rPr>
        <w:t>A</w:t>
      </w:r>
      <w:r w:rsidR="008E64F7" w:rsidRPr="007F2875">
        <w:rPr>
          <w:rFonts w:cs="Arial"/>
          <w:bCs/>
          <w:sz w:val="22"/>
          <w:szCs w:val="24"/>
        </w:rPr>
        <w:t>.  Objective</w:t>
      </w:r>
    </w:p>
    <w:p w:rsidR="008E64F7" w:rsidRPr="007F2875" w:rsidRDefault="008E64F7" w:rsidP="008E64F7">
      <w:pPr>
        <w:ind w:firstLine="720"/>
        <w:rPr>
          <w:rFonts w:cs="Arial"/>
          <w:sz w:val="22"/>
        </w:rPr>
      </w:pPr>
    </w:p>
    <w:p w:rsidR="008E64F7" w:rsidRPr="007F2875" w:rsidRDefault="008E64F7" w:rsidP="004E3A23">
      <w:pPr>
        <w:ind w:firstLine="720"/>
        <w:jc w:val="both"/>
        <w:rPr>
          <w:rFonts w:cs="Arial"/>
          <w:sz w:val="22"/>
        </w:rPr>
      </w:pPr>
      <w:r w:rsidRPr="007F2875">
        <w:rPr>
          <w:rFonts w:cs="Arial"/>
          <w:sz w:val="22"/>
        </w:rPr>
        <w:t>Massachusetts General Laws, Chapter 4</w:t>
      </w:r>
      <w:r w:rsidR="009B30DD" w:rsidRPr="007F2875">
        <w:rPr>
          <w:rFonts w:cs="Arial"/>
          <w:sz w:val="22"/>
        </w:rPr>
        <w:t>4,</w:t>
      </w:r>
      <w:r w:rsidR="007116B5">
        <w:rPr>
          <w:rFonts w:cs="Arial"/>
          <w:sz w:val="22"/>
        </w:rPr>
        <w:t xml:space="preserve"> section 55B requires the town</w:t>
      </w:r>
      <w:r w:rsidR="009B30DD" w:rsidRPr="007F2875">
        <w:rPr>
          <w:rFonts w:cs="Arial"/>
          <w:sz w:val="22"/>
        </w:rPr>
        <w:t>’s</w:t>
      </w:r>
      <w:r w:rsidRPr="007F2875">
        <w:rPr>
          <w:rFonts w:cs="Arial"/>
          <w:sz w:val="22"/>
        </w:rPr>
        <w:t xml:space="preserve"> Treasurer to invest all public funds except those required to be kept uninvested for purposes of immediate distribution. </w:t>
      </w:r>
    </w:p>
    <w:p w:rsidR="008E64F7" w:rsidRPr="007F2875" w:rsidRDefault="008E64F7" w:rsidP="004E3A23">
      <w:pPr>
        <w:ind w:firstLine="720"/>
        <w:jc w:val="both"/>
        <w:rPr>
          <w:rFonts w:cs="Arial"/>
          <w:sz w:val="22"/>
        </w:rPr>
      </w:pPr>
    </w:p>
    <w:p w:rsidR="008E64F7" w:rsidRPr="007F2875" w:rsidRDefault="008E64F7" w:rsidP="004E3A23">
      <w:pPr>
        <w:ind w:firstLine="720"/>
        <w:jc w:val="both"/>
        <w:rPr>
          <w:rFonts w:cs="Arial"/>
          <w:sz w:val="22"/>
        </w:rPr>
      </w:pPr>
      <w:r w:rsidRPr="007F2875">
        <w:rPr>
          <w:rFonts w:cs="Arial"/>
          <w:sz w:val="22"/>
        </w:rPr>
        <w:t>This section also requires that invested funds are to be placed at the highest possible rate of interest reasonably available, taking into account the acceptable levels of safety, liquidity and yield.  Therefore, these guidelines are intended to further the objective of securing the highest reasonable return available that is consistent with safety of principal while meeting the daily cash requirements for the operation of the entity's business.</w:t>
      </w:r>
    </w:p>
    <w:p w:rsidR="008E64F7" w:rsidRPr="007F2875" w:rsidRDefault="008E64F7" w:rsidP="008E64F7">
      <w:pPr>
        <w:rPr>
          <w:rFonts w:cs="Arial"/>
          <w:sz w:val="22"/>
        </w:rPr>
      </w:pPr>
    </w:p>
    <w:p w:rsidR="008E64F7" w:rsidRPr="007F2875" w:rsidRDefault="008E64F7" w:rsidP="004E3A23">
      <w:pPr>
        <w:numPr>
          <w:ilvl w:val="0"/>
          <w:numId w:val="29"/>
        </w:numPr>
        <w:jc w:val="both"/>
        <w:rPr>
          <w:rFonts w:cs="Arial"/>
          <w:sz w:val="22"/>
        </w:rPr>
      </w:pPr>
      <w:r w:rsidRPr="007F2875">
        <w:rPr>
          <w:rFonts w:cs="Arial"/>
          <w:bCs/>
          <w:iCs/>
          <w:sz w:val="22"/>
        </w:rPr>
        <w:lastRenderedPageBreak/>
        <w:t>Safety</w:t>
      </w:r>
      <w:r w:rsidRPr="007F2875">
        <w:rPr>
          <w:rFonts w:cs="Arial"/>
          <w:sz w:val="22"/>
        </w:rPr>
        <w:t xml:space="preserve"> of principal is the foremost objective of the investment program.  Investments shall be undertaken in a manner that seeks to preserve capital through the mitigation of credit risk and interest rate risk.  These risks shall be mitigated by the diversification and prudent selection of investment instruments, and choice of depository.  Credit risk is the risk of loss due to the failure of the security issuer or backer.  Interest rate risk is the risk that the market value of the security will fall due to changes in general interest rates.  </w:t>
      </w:r>
    </w:p>
    <w:p w:rsidR="008E64F7" w:rsidRPr="007F2875" w:rsidRDefault="008E64F7" w:rsidP="004E3A23">
      <w:pPr>
        <w:numPr>
          <w:ilvl w:val="0"/>
          <w:numId w:val="29"/>
        </w:numPr>
        <w:jc w:val="both"/>
        <w:rPr>
          <w:rFonts w:cs="Arial"/>
          <w:sz w:val="22"/>
        </w:rPr>
      </w:pPr>
      <w:r w:rsidRPr="007F2875">
        <w:rPr>
          <w:rFonts w:cs="Arial"/>
          <w:bCs/>
          <w:iCs/>
          <w:sz w:val="22"/>
        </w:rPr>
        <w:t>Liquidity</w:t>
      </w:r>
      <w:r w:rsidRPr="007F2875">
        <w:rPr>
          <w:rFonts w:cs="Arial"/>
          <w:sz w:val="22"/>
        </w:rPr>
        <w:t xml:space="preserve"> is the next most important objective.  The overall investment portfolio shall remain sufficiently liquid to meet all operating requirements that may be reasonably anticipated.  Since all possible cash dema</w:t>
      </w:r>
      <w:r w:rsidR="007116B5">
        <w:rPr>
          <w:rFonts w:cs="Arial"/>
          <w:sz w:val="22"/>
        </w:rPr>
        <w:t>nds cannot be anticipated, the T</w:t>
      </w:r>
      <w:r w:rsidRPr="007F2875">
        <w:rPr>
          <w:rFonts w:cs="Arial"/>
          <w:sz w:val="22"/>
        </w:rPr>
        <w:t>reasurer shall attempt to carry out investment activities in a manner that provides for meeting unusual or unexpected cash demands without requiring the liquidation of investments that could result in forfeiture of accrued interest earnings, and loss of principal in some cases.</w:t>
      </w:r>
    </w:p>
    <w:p w:rsidR="008E64F7" w:rsidRPr="007F2875" w:rsidRDefault="008E64F7" w:rsidP="004E3A23">
      <w:pPr>
        <w:numPr>
          <w:ilvl w:val="0"/>
          <w:numId w:val="29"/>
        </w:numPr>
        <w:jc w:val="both"/>
        <w:rPr>
          <w:rFonts w:cs="Arial"/>
          <w:sz w:val="22"/>
        </w:rPr>
      </w:pPr>
      <w:r w:rsidRPr="007F2875">
        <w:rPr>
          <w:rFonts w:cs="Arial"/>
          <w:bCs/>
          <w:iCs/>
          <w:sz w:val="22"/>
        </w:rPr>
        <w:t>Yield</w:t>
      </w:r>
      <w:r w:rsidRPr="007F2875">
        <w:rPr>
          <w:rFonts w:cs="Arial"/>
          <w:sz w:val="22"/>
        </w:rPr>
        <w:t xml:space="preserve"> is the third, and last, objective.  Investments shall be undertaken so as to achieve a fair market average rate of return, taking into account safety and liquidity constraints as well as all legal requirements. </w:t>
      </w:r>
    </w:p>
    <w:p w:rsidR="009B30DD" w:rsidRPr="007F2875" w:rsidRDefault="009B30DD" w:rsidP="00222D86">
      <w:pPr>
        <w:rPr>
          <w:rFonts w:cs="Arial"/>
          <w:sz w:val="22"/>
        </w:rPr>
      </w:pPr>
    </w:p>
    <w:p w:rsidR="00014B0D" w:rsidRPr="007F2875" w:rsidRDefault="009B30DD" w:rsidP="00014B0D">
      <w:pPr>
        <w:rPr>
          <w:rFonts w:cs="Arial"/>
          <w:bCs/>
          <w:sz w:val="22"/>
          <w:szCs w:val="24"/>
        </w:rPr>
      </w:pPr>
      <w:r w:rsidRPr="007F2875">
        <w:rPr>
          <w:rFonts w:cs="Arial"/>
          <w:bCs/>
          <w:sz w:val="22"/>
          <w:szCs w:val="24"/>
        </w:rPr>
        <w:t>B. Risk Tolerance</w:t>
      </w:r>
    </w:p>
    <w:p w:rsidR="009B30DD" w:rsidRPr="007F2875" w:rsidRDefault="009B30DD" w:rsidP="00014B0D">
      <w:pPr>
        <w:rPr>
          <w:rFonts w:cs="Arial"/>
          <w:bCs/>
          <w:sz w:val="22"/>
        </w:rPr>
      </w:pPr>
    </w:p>
    <w:p w:rsidR="00014B0D" w:rsidRPr="007F2875" w:rsidRDefault="00014B0D" w:rsidP="004E3A23">
      <w:pPr>
        <w:numPr>
          <w:ilvl w:val="1"/>
          <w:numId w:val="24"/>
        </w:numPr>
        <w:tabs>
          <w:tab w:val="clear" w:pos="1440"/>
          <w:tab w:val="num" w:pos="720"/>
        </w:tabs>
        <w:ind w:left="720"/>
        <w:rPr>
          <w:rFonts w:cs="Arial"/>
          <w:bCs/>
          <w:sz w:val="22"/>
        </w:rPr>
      </w:pPr>
      <w:r w:rsidRPr="007F2875">
        <w:rPr>
          <w:rFonts w:cs="Arial"/>
          <w:bCs/>
          <w:sz w:val="22"/>
        </w:rPr>
        <w:t>Credit Risk</w:t>
      </w:r>
    </w:p>
    <w:p w:rsidR="004A2731" w:rsidRDefault="004A2731" w:rsidP="004A2731">
      <w:pPr>
        <w:ind w:firstLine="720"/>
        <w:jc w:val="both"/>
        <w:rPr>
          <w:rFonts w:cs="Arial"/>
          <w:sz w:val="22"/>
        </w:rPr>
      </w:pPr>
    </w:p>
    <w:p w:rsidR="004A2731" w:rsidRDefault="00014B0D" w:rsidP="004A2731">
      <w:pPr>
        <w:ind w:firstLine="720"/>
        <w:jc w:val="both"/>
        <w:rPr>
          <w:rFonts w:cs="Arial"/>
          <w:sz w:val="22"/>
        </w:rPr>
      </w:pPr>
      <w:r w:rsidRPr="007F2875">
        <w:rPr>
          <w:rFonts w:cs="Arial"/>
          <w:sz w:val="22"/>
        </w:rPr>
        <w:t>“Credit risk” is the risk that an issuer or other counterparty to an investment will not fulfill its obligations.</w:t>
      </w:r>
      <w:r w:rsidR="004A2731">
        <w:rPr>
          <w:rFonts w:cs="Arial"/>
          <w:sz w:val="22"/>
        </w:rPr>
        <w:t xml:space="preserve"> </w:t>
      </w:r>
    </w:p>
    <w:p w:rsidR="004A2731" w:rsidRDefault="004A2731" w:rsidP="004A2731">
      <w:pPr>
        <w:ind w:firstLine="720"/>
        <w:jc w:val="both"/>
        <w:rPr>
          <w:rFonts w:cs="Arial"/>
          <w:sz w:val="22"/>
        </w:rPr>
      </w:pPr>
    </w:p>
    <w:p w:rsidR="00014B0D" w:rsidRPr="007F2875" w:rsidRDefault="00014B0D" w:rsidP="004A2731">
      <w:pPr>
        <w:ind w:firstLine="720"/>
        <w:jc w:val="both"/>
        <w:rPr>
          <w:rFonts w:cs="Arial"/>
          <w:sz w:val="22"/>
        </w:rPr>
      </w:pPr>
      <w:r w:rsidRPr="007F2875">
        <w:rPr>
          <w:rFonts w:cs="Arial"/>
          <w:sz w:val="22"/>
        </w:rPr>
        <w:t xml:space="preserve">The </w:t>
      </w:r>
      <w:r w:rsidR="009B30DD" w:rsidRPr="007F2875">
        <w:rPr>
          <w:rFonts w:cs="Arial"/>
          <w:sz w:val="22"/>
        </w:rPr>
        <w:t>Community</w:t>
      </w:r>
      <w:r w:rsidRPr="007F2875">
        <w:rPr>
          <w:rFonts w:cs="Arial"/>
          <w:sz w:val="22"/>
        </w:rPr>
        <w:t xml:space="preserve"> will manage credit risk several ways. There will be no limit to the amount of United States Treasury and United States Government Agency obligations.</w:t>
      </w:r>
      <w:r w:rsidR="004A2731">
        <w:rPr>
          <w:rFonts w:cs="Arial"/>
          <w:sz w:val="22"/>
        </w:rPr>
        <w:t xml:space="preserve"> </w:t>
      </w:r>
      <w:r w:rsidRPr="007F2875">
        <w:rPr>
          <w:rFonts w:cs="Arial"/>
          <w:sz w:val="22"/>
        </w:rPr>
        <w:t xml:space="preserve">In regards to other investments, the </w:t>
      </w:r>
      <w:r w:rsidR="009B30DD" w:rsidRPr="007F2875">
        <w:rPr>
          <w:rFonts w:cs="Arial"/>
          <w:sz w:val="22"/>
        </w:rPr>
        <w:t>Community</w:t>
      </w:r>
      <w:r w:rsidRPr="007F2875">
        <w:rPr>
          <w:rFonts w:cs="Arial"/>
          <w:sz w:val="22"/>
        </w:rPr>
        <w:t xml:space="preserve"> will only purchase investment grade securities with a high concentration in securities rated A or better.</w:t>
      </w:r>
      <w:r w:rsidR="004A2731">
        <w:rPr>
          <w:rFonts w:cs="Arial"/>
          <w:sz w:val="22"/>
        </w:rPr>
        <w:t xml:space="preserve"> </w:t>
      </w:r>
      <w:r w:rsidRPr="007F2875">
        <w:rPr>
          <w:rFonts w:cs="Arial"/>
          <w:sz w:val="22"/>
        </w:rPr>
        <w:t xml:space="preserve">The </w:t>
      </w:r>
      <w:r w:rsidR="009B30DD" w:rsidRPr="007F2875">
        <w:rPr>
          <w:rFonts w:cs="Arial"/>
          <w:sz w:val="22"/>
        </w:rPr>
        <w:t>Community</w:t>
      </w:r>
      <w:r w:rsidRPr="007F2875">
        <w:rPr>
          <w:rFonts w:cs="Arial"/>
          <w:sz w:val="22"/>
        </w:rPr>
        <w:t xml:space="preserve"> may invest in the Massachusetts Municipal Depository Trust (MMDT) with no limit to the amount of funds placed in the fund.</w:t>
      </w:r>
      <w:r w:rsidR="004A2731">
        <w:rPr>
          <w:rFonts w:cs="Arial"/>
          <w:sz w:val="22"/>
        </w:rPr>
        <w:t xml:space="preserve"> </w:t>
      </w:r>
      <w:r w:rsidRPr="007F2875">
        <w:rPr>
          <w:rFonts w:cs="Arial"/>
          <w:sz w:val="22"/>
        </w:rPr>
        <w:t xml:space="preserve">The </w:t>
      </w:r>
      <w:r w:rsidR="009B30DD" w:rsidRPr="007F2875">
        <w:rPr>
          <w:rFonts w:cs="Arial"/>
          <w:sz w:val="22"/>
        </w:rPr>
        <w:t>Community</w:t>
      </w:r>
      <w:r w:rsidRPr="007F2875">
        <w:rPr>
          <w:rFonts w:cs="Arial"/>
          <w:sz w:val="22"/>
        </w:rPr>
        <w:t xml:space="preserve"> may place funds in banking institutions as stated in </w:t>
      </w:r>
      <w:r w:rsidRPr="007F2875">
        <w:rPr>
          <w:rFonts w:cs="Arial"/>
          <w:sz w:val="22"/>
          <w:u w:val="single"/>
        </w:rPr>
        <w:t>Section C</w:t>
      </w:r>
      <w:r w:rsidRPr="007F2875">
        <w:rPr>
          <w:rFonts w:cs="Arial"/>
          <w:sz w:val="22"/>
        </w:rPr>
        <w:t xml:space="preserve"> of this IPS.</w:t>
      </w:r>
    </w:p>
    <w:p w:rsidR="00014B0D" w:rsidRPr="007F2875" w:rsidRDefault="00014B0D" w:rsidP="00014B0D">
      <w:pPr>
        <w:ind w:left="2160"/>
        <w:rPr>
          <w:rFonts w:cs="Arial"/>
          <w:bCs/>
          <w:sz w:val="22"/>
        </w:rPr>
      </w:pPr>
    </w:p>
    <w:p w:rsidR="00014B0D" w:rsidRPr="007F2875" w:rsidRDefault="00014B0D" w:rsidP="004E3A23">
      <w:pPr>
        <w:numPr>
          <w:ilvl w:val="1"/>
          <w:numId w:val="24"/>
        </w:numPr>
        <w:tabs>
          <w:tab w:val="clear" w:pos="1440"/>
          <w:tab w:val="num" w:pos="720"/>
        </w:tabs>
        <w:ind w:left="720"/>
        <w:rPr>
          <w:rFonts w:cs="Arial"/>
          <w:bCs/>
          <w:sz w:val="22"/>
        </w:rPr>
      </w:pPr>
      <w:r w:rsidRPr="007F2875">
        <w:rPr>
          <w:rFonts w:cs="Arial"/>
          <w:bCs/>
          <w:sz w:val="22"/>
        </w:rPr>
        <w:t>Custodial Risk</w:t>
      </w:r>
    </w:p>
    <w:p w:rsidR="004A2731" w:rsidRDefault="004A2731" w:rsidP="004A2731">
      <w:pPr>
        <w:rPr>
          <w:rFonts w:cs="Arial"/>
          <w:sz w:val="22"/>
        </w:rPr>
      </w:pPr>
    </w:p>
    <w:p w:rsidR="00014B0D" w:rsidRPr="007F2875" w:rsidRDefault="00014B0D" w:rsidP="004A2731">
      <w:pPr>
        <w:ind w:firstLine="720"/>
        <w:jc w:val="both"/>
        <w:rPr>
          <w:rFonts w:cs="Arial"/>
          <w:sz w:val="22"/>
        </w:rPr>
      </w:pPr>
      <w:r w:rsidRPr="007F2875">
        <w:rPr>
          <w:rFonts w:cs="Arial"/>
          <w:sz w:val="22"/>
        </w:rPr>
        <w:t xml:space="preserve">The “custodial credit risk” for </w:t>
      </w:r>
      <w:r w:rsidRPr="007F2875">
        <w:rPr>
          <w:rFonts w:cs="Arial"/>
          <w:iCs/>
          <w:sz w:val="22"/>
        </w:rPr>
        <w:t>deposits</w:t>
      </w:r>
      <w:r w:rsidRPr="007F2875">
        <w:rPr>
          <w:rFonts w:cs="Arial"/>
          <w:sz w:val="22"/>
        </w:rPr>
        <w:t xml:space="preserve"> is the risk that, in the event of the failure of a depository financial institution, a municipality will not be able to recover deposits or will not be able to recover collateral securities that are in the possession of an outside party. The custodial credit risk for </w:t>
      </w:r>
      <w:r w:rsidRPr="007F2875">
        <w:rPr>
          <w:rFonts w:cs="Arial"/>
          <w:iCs/>
          <w:sz w:val="22"/>
        </w:rPr>
        <w:t>investments</w:t>
      </w:r>
      <w:r w:rsidRPr="007F2875">
        <w:rPr>
          <w:rFonts w:cs="Arial"/>
          <w:sz w:val="22"/>
        </w:rPr>
        <w:t xml:space="preserve"> is the risk that, in the event of the failure of the counterparty to a transaction, a municipality will not be able to recover the value of investment or collateral securities that are in the possession of an outside party.</w:t>
      </w:r>
    </w:p>
    <w:p w:rsidR="004A2731" w:rsidRDefault="004A2731" w:rsidP="004A2731">
      <w:pPr>
        <w:ind w:firstLine="720"/>
        <w:jc w:val="both"/>
        <w:rPr>
          <w:rFonts w:cs="Arial"/>
          <w:sz w:val="22"/>
        </w:rPr>
      </w:pPr>
    </w:p>
    <w:p w:rsidR="00014B0D" w:rsidRPr="007F2875" w:rsidRDefault="00014B0D" w:rsidP="004A2731">
      <w:pPr>
        <w:ind w:firstLine="720"/>
        <w:jc w:val="both"/>
        <w:rPr>
          <w:rFonts w:cs="Arial"/>
          <w:sz w:val="22"/>
        </w:rPr>
      </w:pPr>
      <w:r w:rsidRPr="007F2875">
        <w:rPr>
          <w:rFonts w:cs="Arial"/>
          <w:sz w:val="22"/>
        </w:rPr>
        <w:t xml:space="preserve">The </w:t>
      </w:r>
      <w:r w:rsidR="007116B5">
        <w:rPr>
          <w:rFonts w:cs="Arial"/>
          <w:sz w:val="22"/>
        </w:rPr>
        <w:t>town</w:t>
      </w:r>
      <w:r w:rsidRPr="007F2875">
        <w:rPr>
          <w:rFonts w:cs="Arial"/>
          <w:sz w:val="22"/>
        </w:rPr>
        <w:t xml:space="preserve"> will review the financial institution’s financial statements and</w:t>
      </w:r>
      <w:r w:rsidR="007116B5">
        <w:rPr>
          <w:rFonts w:cs="Arial"/>
          <w:sz w:val="22"/>
        </w:rPr>
        <w:t xml:space="preserve">/or the background of a proposed Financial </w:t>
      </w:r>
      <w:r w:rsidRPr="007F2875">
        <w:rPr>
          <w:rFonts w:cs="Arial"/>
          <w:sz w:val="22"/>
        </w:rPr>
        <w:t xml:space="preserve">Advisor. The intent of this qualification is to limit the </w:t>
      </w:r>
      <w:r w:rsidR="007116B5">
        <w:rPr>
          <w:rFonts w:cs="Arial"/>
          <w:sz w:val="22"/>
        </w:rPr>
        <w:t>town</w:t>
      </w:r>
      <w:r w:rsidR="009B30DD" w:rsidRPr="007F2875">
        <w:rPr>
          <w:rFonts w:cs="Arial"/>
          <w:sz w:val="22"/>
        </w:rPr>
        <w:t>’s</w:t>
      </w:r>
      <w:r w:rsidRPr="007F2875">
        <w:rPr>
          <w:rFonts w:cs="Arial"/>
          <w:sz w:val="22"/>
        </w:rPr>
        <w:t xml:space="preserve"> exposure to only those institutions with a proven financial strength, Capital adequacy of the firm, and overall affirmative reputation in the municipal industry.</w:t>
      </w:r>
      <w:r w:rsidR="004A2731">
        <w:rPr>
          <w:rFonts w:cs="Arial"/>
          <w:sz w:val="22"/>
        </w:rPr>
        <w:t xml:space="preserve"> </w:t>
      </w:r>
      <w:r w:rsidRPr="007F2875">
        <w:rPr>
          <w:rFonts w:cs="Arial"/>
          <w:sz w:val="22"/>
        </w:rPr>
        <w:t xml:space="preserve">Further, all securities not held directly by the </w:t>
      </w:r>
      <w:r w:rsidR="007116B5">
        <w:rPr>
          <w:rFonts w:cs="Arial"/>
          <w:sz w:val="22"/>
        </w:rPr>
        <w:t>town</w:t>
      </w:r>
      <w:r w:rsidRPr="007F2875">
        <w:rPr>
          <w:rFonts w:cs="Arial"/>
          <w:sz w:val="22"/>
        </w:rPr>
        <w:t xml:space="preserve">, will be held in the </w:t>
      </w:r>
      <w:r w:rsidR="007116B5">
        <w:rPr>
          <w:rFonts w:cs="Arial"/>
          <w:sz w:val="22"/>
        </w:rPr>
        <w:t>town</w:t>
      </w:r>
      <w:r w:rsidRPr="007F2875">
        <w:rPr>
          <w:rFonts w:cs="Arial"/>
          <w:sz w:val="22"/>
        </w:rPr>
        <w:t>’s name and tax identification number by a third-party custodian approved by the Treasurer and evidenced by safekeeping receipts showing individual CUSIP numbers for each security.</w:t>
      </w:r>
    </w:p>
    <w:p w:rsidR="00014B0D" w:rsidRPr="007F2875" w:rsidRDefault="00014B0D" w:rsidP="00014B0D">
      <w:pPr>
        <w:ind w:left="2160"/>
        <w:rPr>
          <w:rFonts w:cs="Arial"/>
          <w:bCs/>
          <w:sz w:val="22"/>
        </w:rPr>
      </w:pPr>
    </w:p>
    <w:p w:rsidR="00014B0D" w:rsidRPr="007F2875" w:rsidRDefault="00014B0D" w:rsidP="004A2731">
      <w:pPr>
        <w:numPr>
          <w:ilvl w:val="1"/>
          <w:numId w:val="24"/>
        </w:numPr>
        <w:tabs>
          <w:tab w:val="clear" w:pos="1440"/>
          <w:tab w:val="num" w:pos="720"/>
        </w:tabs>
        <w:ind w:left="720"/>
        <w:rPr>
          <w:rFonts w:cs="Arial"/>
          <w:bCs/>
          <w:sz w:val="22"/>
        </w:rPr>
      </w:pPr>
      <w:r w:rsidRPr="007F2875">
        <w:rPr>
          <w:rFonts w:cs="Arial"/>
          <w:bCs/>
          <w:sz w:val="22"/>
        </w:rPr>
        <w:t>Concentration of Credit Risk</w:t>
      </w:r>
    </w:p>
    <w:p w:rsidR="004A2731" w:rsidRDefault="004A2731" w:rsidP="004A2731">
      <w:pPr>
        <w:ind w:left="2160"/>
        <w:rPr>
          <w:rFonts w:cs="Arial"/>
          <w:sz w:val="22"/>
        </w:rPr>
      </w:pPr>
    </w:p>
    <w:p w:rsidR="00014B0D" w:rsidRPr="007F2875" w:rsidRDefault="00014B0D" w:rsidP="004A2731">
      <w:pPr>
        <w:ind w:firstLine="720"/>
        <w:jc w:val="both"/>
        <w:rPr>
          <w:rFonts w:cs="Arial"/>
          <w:sz w:val="22"/>
        </w:rPr>
      </w:pPr>
      <w:r w:rsidRPr="007F2875">
        <w:rPr>
          <w:rFonts w:cs="Arial"/>
          <w:sz w:val="22"/>
        </w:rPr>
        <w:t>“Concentration of credit risk” is the risk of loss attributed to the magnitude of a government’s investment in a single issuer.</w:t>
      </w:r>
    </w:p>
    <w:p w:rsidR="00014B0D" w:rsidRPr="007F2875" w:rsidRDefault="00014B0D" w:rsidP="00014B0D">
      <w:pPr>
        <w:rPr>
          <w:rFonts w:cs="Arial"/>
          <w:sz w:val="22"/>
        </w:rPr>
      </w:pPr>
    </w:p>
    <w:p w:rsidR="00014B0D" w:rsidRPr="007F2875" w:rsidRDefault="00014B0D" w:rsidP="004A2731">
      <w:pPr>
        <w:ind w:firstLine="720"/>
        <w:jc w:val="both"/>
        <w:rPr>
          <w:rFonts w:cs="Arial"/>
          <w:sz w:val="22"/>
        </w:rPr>
      </w:pPr>
      <w:r w:rsidRPr="007F2875">
        <w:rPr>
          <w:rFonts w:cs="Arial"/>
          <w:sz w:val="22"/>
        </w:rPr>
        <w:t xml:space="preserve">The </w:t>
      </w:r>
      <w:r w:rsidR="007116B5">
        <w:rPr>
          <w:rFonts w:cs="Arial"/>
          <w:sz w:val="22"/>
        </w:rPr>
        <w:t>town</w:t>
      </w:r>
      <w:r w:rsidR="009B30DD" w:rsidRPr="007F2875">
        <w:rPr>
          <w:rFonts w:cs="Arial"/>
          <w:sz w:val="22"/>
        </w:rPr>
        <w:t xml:space="preserve"> </w:t>
      </w:r>
      <w:r w:rsidRPr="007F2875">
        <w:rPr>
          <w:rFonts w:cs="Arial"/>
          <w:sz w:val="22"/>
        </w:rPr>
        <w:t>will minimize concentration of credit risk by diversifying the investment portfolio so that the impact of potential losses from any one type of security or issuer will be minimized.</w:t>
      </w:r>
    </w:p>
    <w:p w:rsidR="00222D86" w:rsidRPr="007F2875" w:rsidRDefault="00222D86" w:rsidP="00014B0D">
      <w:pPr>
        <w:ind w:left="2160"/>
        <w:rPr>
          <w:rFonts w:cs="Arial"/>
          <w:bCs/>
          <w:sz w:val="22"/>
        </w:rPr>
      </w:pPr>
    </w:p>
    <w:p w:rsidR="00014B0D" w:rsidRPr="007F2875" w:rsidRDefault="00014B0D" w:rsidP="004A2731">
      <w:pPr>
        <w:numPr>
          <w:ilvl w:val="1"/>
          <w:numId w:val="24"/>
        </w:numPr>
        <w:tabs>
          <w:tab w:val="clear" w:pos="1440"/>
          <w:tab w:val="num" w:pos="720"/>
        </w:tabs>
        <w:ind w:left="720"/>
        <w:rPr>
          <w:rFonts w:cs="Arial"/>
          <w:bCs/>
          <w:sz w:val="22"/>
        </w:rPr>
      </w:pPr>
      <w:r w:rsidRPr="007F2875">
        <w:rPr>
          <w:rFonts w:cs="Arial"/>
          <w:bCs/>
          <w:sz w:val="22"/>
        </w:rPr>
        <w:t>Interest Rate Risk</w:t>
      </w:r>
    </w:p>
    <w:p w:rsidR="004A2731" w:rsidRDefault="004A2731" w:rsidP="004A2731">
      <w:pPr>
        <w:rPr>
          <w:rFonts w:cs="Arial"/>
          <w:sz w:val="22"/>
        </w:rPr>
      </w:pPr>
    </w:p>
    <w:p w:rsidR="00014B0D" w:rsidRPr="007F2875" w:rsidRDefault="00014B0D" w:rsidP="004A2731">
      <w:pPr>
        <w:ind w:firstLine="720"/>
        <w:jc w:val="both"/>
        <w:rPr>
          <w:rFonts w:cs="Arial"/>
          <w:sz w:val="22"/>
        </w:rPr>
      </w:pPr>
      <w:r w:rsidRPr="007F2875">
        <w:rPr>
          <w:rFonts w:cs="Arial"/>
          <w:sz w:val="22"/>
        </w:rPr>
        <w:lastRenderedPageBreak/>
        <w:t>“Interest rate risk” is the risk that changes in interest rates will adversely affect the fair value of an investment.</w:t>
      </w:r>
    </w:p>
    <w:p w:rsidR="004A2731" w:rsidRDefault="004A2731" w:rsidP="004A2731">
      <w:pPr>
        <w:ind w:firstLine="720"/>
        <w:jc w:val="both"/>
        <w:rPr>
          <w:rFonts w:cs="Arial"/>
          <w:sz w:val="22"/>
        </w:rPr>
      </w:pPr>
    </w:p>
    <w:p w:rsidR="00014B0D" w:rsidRPr="007F2875" w:rsidRDefault="00014B0D" w:rsidP="004A2731">
      <w:pPr>
        <w:ind w:firstLine="720"/>
        <w:jc w:val="both"/>
        <w:rPr>
          <w:rFonts w:cs="Arial"/>
          <w:sz w:val="22"/>
        </w:rPr>
      </w:pPr>
      <w:r w:rsidRPr="007F2875">
        <w:rPr>
          <w:rFonts w:cs="Arial"/>
          <w:sz w:val="22"/>
        </w:rPr>
        <w:t xml:space="preserve">The </w:t>
      </w:r>
      <w:r w:rsidR="007116B5">
        <w:rPr>
          <w:rFonts w:cs="Arial"/>
          <w:sz w:val="22"/>
        </w:rPr>
        <w:t>town</w:t>
      </w:r>
      <w:r w:rsidRPr="007F2875">
        <w:rPr>
          <w:rFonts w:cs="Arial"/>
          <w:sz w:val="22"/>
        </w:rPr>
        <w:t xml:space="preserve"> will manage interest rate risk by managing duration in the account.</w:t>
      </w:r>
    </w:p>
    <w:p w:rsidR="00014B0D" w:rsidRPr="007F2875" w:rsidRDefault="00014B0D" w:rsidP="00014B0D">
      <w:pPr>
        <w:ind w:left="2160"/>
        <w:rPr>
          <w:rFonts w:cs="Arial"/>
          <w:bCs/>
          <w:sz w:val="22"/>
        </w:rPr>
      </w:pPr>
    </w:p>
    <w:p w:rsidR="00014B0D" w:rsidRPr="007F2875" w:rsidRDefault="00014B0D" w:rsidP="004A2731">
      <w:pPr>
        <w:numPr>
          <w:ilvl w:val="1"/>
          <w:numId w:val="24"/>
        </w:numPr>
        <w:tabs>
          <w:tab w:val="clear" w:pos="1440"/>
          <w:tab w:val="num" w:pos="720"/>
        </w:tabs>
        <w:ind w:left="720"/>
        <w:rPr>
          <w:rFonts w:cs="Arial"/>
          <w:bCs/>
          <w:sz w:val="22"/>
        </w:rPr>
      </w:pPr>
      <w:r w:rsidRPr="007F2875">
        <w:rPr>
          <w:rFonts w:cs="Arial"/>
          <w:bCs/>
          <w:sz w:val="22"/>
        </w:rPr>
        <w:t>Foreign Currency Risk</w:t>
      </w:r>
    </w:p>
    <w:p w:rsidR="004A2731" w:rsidRDefault="004A2731" w:rsidP="004A2731">
      <w:pPr>
        <w:ind w:firstLine="720"/>
        <w:jc w:val="both"/>
        <w:rPr>
          <w:rFonts w:cs="Arial"/>
          <w:sz w:val="22"/>
        </w:rPr>
      </w:pPr>
    </w:p>
    <w:p w:rsidR="00014B0D" w:rsidRPr="007F2875" w:rsidRDefault="00014B0D" w:rsidP="004A2731">
      <w:pPr>
        <w:ind w:firstLine="720"/>
        <w:jc w:val="both"/>
        <w:rPr>
          <w:rFonts w:cs="Arial"/>
          <w:sz w:val="22"/>
        </w:rPr>
      </w:pPr>
      <w:r w:rsidRPr="007F2875">
        <w:rPr>
          <w:rFonts w:cs="Arial"/>
          <w:sz w:val="22"/>
        </w:rPr>
        <w:t>“Foreign currency risk” is the risk that changes in foreign monetary exchange rates will adversely affect the fair value of an investment or a deposit.</w:t>
      </w:r>
    </w:p>
    <w:p w:rsidR="004A2731" w:rsidRDefault="004A2731" w:rsidP="004A2731">
      <w:pPr>
        <w:ind w:firstLine="720"/>
        <w:jc w:val="both"/>
        <w:rPr>
          <w:rFonts w:cs="Arial"/>
          <w:sz w:val="22"/>
        </w:rPr>
      </w:pPr>
    </w:p>
    <w:p w:rsidR="00014B0D" w:rsidRPr="007F2875" w:rsidRDefault="00014B0D" w:rsidP="004A2731">
      <w:pPr>
        <w:ind w:firstLine="720"/>
        <w:jc w:val="both"/>
        <w:rPr>
          <w:rFonts w:cs="Arial"/>
          <w:bCs/>
          <w:sz w:val="22"/>
        </w:rPr>
      </w:pPr>
      <w:r w:rsidRPr="007F2875">
        <w:rPr>
          <w:rFonts w:cs="Arial"/>
          <w:sz w:val="22"/>
        </w:rPr>
        <w:t xml:space="preserve">The </w:t>
      </w:r>
      <w:r w:rsidR="007116B5">
        <w:rPr>
          <w:rFonts w:cs="Arial"/>
          <w:sz w:val="22"/>
        </w:rPr>
        <w:t>town</w:t>
      </w:r>
      <w:r w:rsidRPr="007F2875">
        <w:rPr>
          <w:rFonts w:cs="Arial"/>
          <w:sz w:val="22"/>
        </w:rPr>
        <w:t xml:space="preserve"> will </w:t>
      </w:r>
      <w:r w:rsidR="00397B78" w:rsidRPr="007F2875">
        <w:rPr>
          <w:rFonts w:cs="Arial"/>
          <w:sz w:val="22"/>
        </w:rPr>
        <w:t xml:space="preserve">limit </w:t>
      </w:r>
      <w:r w:rsidRPr="007F2875">
        <w:rPr>
          <w:rFonts w:cs="Arial"/>
          <w:sz w:val="22"/>
        </w:rPr>
        <w:t>invest</w:t>
      </w:r>
      <w:r w:rsidR="00397B78" w:rsidRPr="007F2875">
        <w:rPr>
          <w:rFonts w:cs="Arial"/>
          <w:sz w:val="22"/>
        </w:rPr>
        <w:t>ment</w:t>
      </w:r>
      <w:r w:rsidRPr="007F2875">
        <w:rPr>
          <w:rFonts w:cs="Arial"/>
          <w:sz w:val="22"/>
        </w:rPr>
        <w:t xml:space="preserve"> in any instrument exposed to foreign currency risk</w:t>
      </w:r>
      <w:r w:rsidRPr="007F2875">
        <w:rPr>
          <w:rFonts w:cs="Arial"/>
          <w:bCs/>
          <w:sz w:val="22"/>
        </w:rPr>
        <w:t>.</w:t>
      </w:r>
    </w:p>
    <w:p w:rsidR="004A2731" w:rsidRDefault="004A2731" w:rsidP="00014B0D">
      <w:pPr>
        <w:rPr>
          <w:rFonts w:cs="Arial"/>
          <w:bCs/>
          <w:sz w:val="22"/>
          <w:szCs w:val="24"/>
        </w:rPr>
      </w:pPr>
    </w:p>
    <w:p w:rsidR="004A2731" w:rsidRDefault="004A2731" w:rsidP="00014B0D">
      <w:pPr>
        <w:rPr>
          <w:rFonts w:cs="Arial"/>
          <w:bCs/>
          <w:sz w:val="22"/>
          <w:szCs w:val="24"/>
        </w:rPr>
      </w:pPr>
    </w:p>
    <w:p w:rsidR="00014B0D" w:rsidRPr="007F2875" w:rsidRDefault="009B30DD" w:rsidP="00014B0D">
      <w:pPr>
        <w:rPr>
          <w:rFonts w:cs="Arial"/>
          <w:sz w:val="22"/>
        </w:rPr>
      </w:pPr>
      <w:r w:rsidRPr="007F2875">
        <w:rPr>
          <w:rFonts w:cs="Arial"/>
          <w:bCs/>
          <w:sz w:val="22"/>
          <w:szCs w:val="24"/>
        </w:rPr>
        <w:t>C</w:t>
      </w:r>
      <w:r w:rsidR="00014B0D" w:rsidRPr="007F2875">
        <w:rPr>
          <w:rFonts w:cs="Arial"/>
          <w:bCs/>
          <w:sz w:val="22"/>
          <w:szCs w:val="24"/>
        </w:rPr>
        <w:t>.  Ethics</w:t>
      </w:r>
    </w:p>
    <w:p w:rsidR="00014B0D" w:rsidRPr="007F2875" w:rsidRDefault="00014B0D" w:rsidP="00014B0D">
      <w:pPr>
        <w:rPr>
          <w:rFonts w:cs="Arial"/>
          <w:sz w:val="22"/>
        </w:rPr>
      </w:pPr>
    </w:p>
    <w:p w:rsidR="00014B0D" w:rsidRPr="007F2875" w:rsidRDefault="00014B0D" w:rsidP="004E3A23">
      <w:pPr>
        <w:ind w:firstLine="630"/>
        <w:jc w:val="both"/>
        <w:rPr>
          <w:rFonts w:cs="Arial"/>
          <w:sz w:val="22"/>
        </w:rPr>
      </w:pPr>
      <w:r w:rsidRPr="007F2875">
        <w:rPr>
          <w:rFonts w:cs="Arial"/>
          <w:sz w:val="22"/>
        </w:rPr>
        <w:t>The Tre</w:t>
      </w:r>
      <w:r w:rsidR="00080CC3">
        <w:rPr>
          <w:rFonts w:cs="Arial"/>
          <w:sz w:val="22"/>
        </w:rPr>
        <w:t>asurer</w:t>
      </w:r>
      <w:r w:rsidRPr="007F2875">
        <w:rPr>
          <w:rFonts w:cs="Arial"/>
          <w:sz w:val="22"/>
        </w:rPr>
        <w:t xml:space="preserve"> shall refrain from any personal activity that may conflict with the proper execution of the investment program or which could impair or appear to impair ability to make impartia</w:t>
      </w:r>
      <w:r w:rsidR="00080CC3">
        <w:rPr>
          <w:rFonts w:cs="Arial"/>
          <w:sz w:val="22"/>
        </w:rPr>
        <w:t>l investment decisions and disclose</w:t>
      </w:r>
      <w:r w:rsidRPr="007F2875">
        <w:rPr>
          <w:rFonts w:cs="Arial"/>
          <w:sz w:val="22"/>
        </w:rPr>
        <w:t xml:space="preserve"> material financial interest in financial institutions that do business with the </w:t>
      </w:r>
      <w:r w:rsidR="00080CC3">
        <w:rPr>
          <w:rFonts w:cs="Arial"/>
          <w:sz w:val="22"/>
        </w:rPr>
        <w:t>town.  The Treasurer</w:t>
      </w:r>
      <w:r w:rsidRPr="007F2875">
        <w:rPr>
          <w:rFonts w:cs="Arial"/>
          <w:sz w:val="22"/>
        </w:rPr>
        <w:t xml:space="preserve"> shall also disclose any large personal financial investment positions or loans that could be related to the performance of the </w:t>
      </w:r>
      <w:r w:rsidR="00080CC3">
        <w:rPr>
          <w:rFonts w:cs="Arial"/>
          <w:sz w:val="22"/>
        </w:rPr>
        <w:t>town</w:t>
      </w:r>
      <w:r w:rsidRPr="007F2875">
        <w:rPr>
          <w:rFonts w:cs="Arial"/>
          <w:sz w:val="22"/>
        </w:rPr>
        <w:t>'s investments.</w:t>
      </w:r>
    </w:p>
    <w:p w:rsidR="009B30DD" w:rsidRDefault="009B30DD" w:rsidP="00014B0D">
      <w:pPr>
        <w:rPr>
          <w:rFonts w:cs="Arial"/>
          <w:sz w:val="22"/>
        </w:rPr>
      </w:pPr>
    </w:p>
    <w:p w:rsidR="004A2731" w:rsidRPr="007F2875" w:rsidRDefault="004A2731" w:rsidP="00014B0D">
      <w:pPr>
        <w:rPr>
          <w:rFonts w:cs="Arial"/>
          <w:sz w:val="22"/>
        </w:rPr>
      </w:pPr>
    </w:p>
    <w:p w:rsidR="00AA055A" w:rsidRPr="007F2875" w:rsidRDefault="009B30DD" w:rsidP="00AA055A">
      <w:pPr>
        <w:rPr>
          <w:rFonts w:cs="Arial"/>
          <w:bCs/>
          <w:sz w:val="22"/>
          <w:szCs w:val="22"/>
        </w:rPr>
      </w:pPr>
      <w:r w:rsidRPr="007F2875">
        <w:rPr>
          <w:rFonts w:cs="Arial"/>
          <w:bCs/>
          <w:sz w:val="22"/>
          <w:szCs w:val="24"/>
        </w:rPr>
        <w:t>D</w:t>
      </w:r>
      <w:r w:rsidR="00AA055A" w:rsidRPr="007F2875">
        <w:rPr>
          <w:rFonts w:cs="Arial"/>
          <w:bCs/>
          <w:sz w:val="22"/>
          <w:szCs w:val="24"/>
        </w:rPr>
        <w:t>.  Relationship with Financial Institutions</w:t>
      </w:r>
    </w:p>
    <w:p w:rsidR="00AA055A" w:rsidRPr="007F2875" w:rsidRDefault="00AA055A" w:rsidP="00AA055A">
      <w:pPr>
        <w:rPr>
          <w:rFonts w:cs="Arial"/>
          <w:sz w:val="22"/>
        </w:rPr>
      </w:pPr>
    </w:p>
    <w:p w:rsidR="00AA055A" w:rsidRPr="007F2875" w:rsidRDefault="00AA055A" w:rsidP="004E3A23">
      <w:pPr>
        <w:ind w:firstLine="720"/>
        <w:jc w:val="both"/>
        <w:rPr>
          <w:rFonts w:cs="Arial"/>
          <w:sz w:val="22"/>
        </w:rPr>
      </w:pPr>
      <w:r w:rsidRPr="007F2875">
        <w:rPr>
          <w:rFonts w:cs="Arial"/>
          <w:sz w:val="22"/>
        </w:rPr>
        <w:t>Financial institutions should be selected first and foremost with regard to their financia</w:t>
      </w:r>
      <w:r w:rsidR="00080CC3">
        <w:rPr>
          <w:rFonts w:cs="Arial"/>
          <w:sz w:val="22"/>
        </w:rPr>
        <w:t>l soundness and stability.  The town</w:t>
      </w:r>
      <w:r w:rsidR="009B30DD" w:rsidRPr="00756C33">
        <w:rPr>
          <w:rFonts w:cs="Arial"/>
          <w:sz w:val="22"/>
        </w:rPr>
        <w:t xml:space="preserve"> </w:t>
      </w:r>
      <w:r w:rsidR="00ED6DFA" w:rsidRPr="00756C33">
        <w:rPr>
          <w:rFonts w:cs="Arial"/>
          <w:sz w:val="22"/>
        </w:rPr>
        <w:t>may</w:t>
      </w:r>
      <w:r w:rsidR="00ED6DFA">
        <w:rPr>
          <w:rFonts w:cs="Arial"/>
          <w:sz w:val="22"/>
        </w:rPr>
        <w:t xml:space="preserve"> subscribe</w:t>
      </w:r>
      <w:r w:rsidR="00080CC3">
        <w:rPr>
          <w:rFonts w:cs="Arial"/>
          <w:sz w:val="22"/>
        </w:rPr>
        <w:t xml:space="preserve"> to a bank credit rating service, such as </w:t>
      </w:r>
      <w:r w:rsidRPr="007F2875">
        <w:rPr>
          <w:rFonts w:cs="Arial"/>
          <w:sz w:val="22"/>
        </w:rPr>
        <w:t>Veribanc Rating Service</w:t>
      </w:r>
      <w:r w:rsidR="00080CC3">
        <w:rPr>
          <w:rFonts w:cs="Arial"/>
          <w:sz w:val="22"/>
        </w:rPr>
        <w:t>,</w:t>
      </w:r>
      <w:r w:rsidRPr="007F2875">
        <w:rPr>
          <w:rFonts w:cs="Arial"/>
          <w:sz w:val="22"/>
        </w:rPr>
        <w:t xml:space="preserve"> to evaluate the banking institutions with which it chooses to establish relationships.  Brokers should be recognized, reputable dealers and members of the Financial Industry Regulatory Authority (FINRA). </w:t>
      </w:r>
    </w:p>
    <w:p w:rsidR="00AA055A" w:rsidRPr="007F2875" w:rsidRDefault="00AA055A" w:rsidP="00AA055A">
      <w:pPr>
        <w:rPr>
          <w:rFonts w:cs="Arial"/>
          <w:sz w:val="22"/>
        </w:rPr>
      </w:pPr>
    </w:p>
    <w:p w:rsidR="00AA055A" w:rsidRPr="007F2875" w:rsidRDefault="00AA055A" w:rsidP="004E3A23">
      <w:pPr>
        <w:ind w:firstLine="720"/>
        <w:jc w:val="both"/>
        <w:rPr>
          <w:rFonts w:cs="Arial"/>
          <w:sz w:val="22"/>
        </w:rPr>
      </w:pPr>
      <w:r w:rsidRPr="007F2875">
        <w:rPr>
          <w:rFonts w:cs="Arial"/>
          <w:sz w:val="22"/>
        </w:rPr>
        <w:t xml:space="preserve">In instances where the </w:t>
      </w:r>
      <w:r w:rsidR="007116B5">
        <w:rPr>
          <w:rFonts w:cs="Arial"/>
          <w:sz w:val="22"/>
        </w:rPr>
        <w:t>town</w:t>
      </w:r>
      <w:r w:rsidR="00080CC3">
        <w:rPr>
          <w:rFonts w:cs="Arial"/>
          <w:sz w:val="22"/>
        </w:rPr>
        <w:t xml:space="preserve"> does not purchase a bank credit rating service</w:t>
      </w:r>
      <w:r w:rsidRPr="007F2875">
        <w:rPr>
          <w:rFonts w:cs="Arial"/>
          <w:sz w:val="22"/>
        </w:rPr>
        <w:t xml:space="preserve">, the Treasurer should request the banking institution’s Veribanc rating from all of the banking institutions that are working with the </w:t>
      </w:r>
      <w:r w:rsidR="007116B5">
        <w:rPr>
          <w:rFonts w:cs="Arial"/>
          <w:sz w:val="22"/>
        </w:rPr>
        <w:t>town</w:t>
      </w:r>
      <w:r w:rsidRPr="007F2875">
        <w:rPr>
          <w:rFonts w:cs="Arial"/>
          <w:sz w:val="22"/>
        </w:rPr>
        <w:t xml:space="preserve"> on a quarterly basis.</w:t>
      </w:r>
    </w:p>
    <w:p w:rsidR="00AA055A" w:rsidRPr="007F2875" w:rsidRDefault="00AA055A" w:rsidP="004E3A23">
      <w:pPr>
        <w:ind w:firstLine="720"/>
        <w:jc w:val="both"/>
        <w:rPr>
          <w:rFonts w:cs="Arial"/>
          <w:sz w:val="22"/>
        </w:rPr>
      </w:pPr>
    </w:p>
    <w:p w:rsidR="00AA055A" w:rsidRPr="007F2875" w:rsidRDefault="00080CC3" w:rsidP="004E3A23">
      <w:pPr>
        <w:ind w:firstLine="720"/>
        <w:jc w:val="both"/>
        <w:rPr>
          <w:rFonts w:cs="Arial"/>
          <w:sz w:val="22"/>
        </w:rPr>
      </w:pPr>
      <w:r>
        <w:rPr>
          <w:rFonts w:cs="Arial"/>
          <w:sz w:val="22"/>
        </w:rPr>
        <w:t>When using a bank credit rating s</w:t>
      </w:r>
      <w:r w:rsidR="00AA055A" w:rsidRPr="007F2875">
        <w:rPr>
          <w:rFonts w:cs="Arial"/>
          <w:sz w:val="22"/>
        </w:rPr>
        <w:t>ervice the Treasurer may invest in such banks that show a green rating in a particular quarter. If a rating is yellow the Treasurer should contact the appropriate banking institution and request in writing an explanation of the change in rating and the expected time table for it to be changed to green.</w:t>
      </w:r>
      <w:r w:rsidR="004A2731">
        <w:rPr>
          <w:rFonts w:cs="Arial"/>
          <w:sz w:val="22"/>
        </w:rPr>
        <w:t xml:space="preserve"> </w:t>
      </w:r>
      <w:r w:rsidR="00AA055A" w:rsidRPr="007F2875">
        <w:rPr>
          <w:rFonts w:cs="Arial"/>
          <w:sz w:val="22"/>
        </w:rPr>
        <w:t>If for a second quarter such rating is not green, the Treasurer should consider removing all funds that are not collateralized, or carries some form of depositors insurance.</w:t>
      </w:r>
      <w:r w:rsidR="004A2731">
        <w:rPr>
          <w:rFonts w:cs="Arial"/>
          <w:sz w:val="22"/>
        </w:rPr>
        <w:t xml:space="preserve"> </w:t>
      </w:r>
      <w:r w:rsidR="00AA055A" w:rsidRPr="007F2875">
        <w:rPr>
          <w:rFonts w:cs="Arial"/>
          <w:sz w:val="22"/>
        </w:rPr>
        <w:t>If a rating moves to red all money should be immediately collateralized or covered by some form of depositors insurance or be removed from the banking institution.</w:t>
      </w:r>
    </w:p>
    <w:p w:rsidR="00AA055A" w:rsidRPr="007F2875" w:rsidRDefault="00AA055A" w:rsidP="004E3A23">
      <w:pPr>
        <w:ind w:firstLine="720"/>
        <w:jc w:val="both"/>
        <w:rPr>
          <w:rFonts w:cs="Arial"/>
          <w:sz w:val="22"/>
        </w:rPr>
      </w:pPr>
    </w:p>
    <w:p w:rsidR="00AA055A" w:rsidRPr="007F2875" w:rsidRDefault="00AA055A" w:rsidP="004E3A23">
      <w:pPr>
        <w:ind w:firstLine="720"/>
        <w:jc w:val="both"/>
        <w:rPr>
          <w:rFonts w:cs="Arial"/>
          <w:sz w:val="22"/>
        </w:rPr>
      </w:pPr>
      <w:r w:rsidRPr="007F2875">
        <w:rPr>
          <w:rFonts w:cs="Arial"/>
          <w:sz w:val="22"/>
        </w:rPr>
        <w:t>The Treasurer shall require any brokerage houses and broker/dealers wishing to do business with the municipality to supply the following information to the Treasurer on an annual basis:</w:t>
      </w:r>
    </w:p>
    <w:p w:rsidR="00AA055A" w:rsidRPr="007F2875" w:rsidRDefault="00AA055A" w:rsidP="00AA055A">
      <w:pPr>
        <w:pStyle w:val="Footer"/>
        <w:tabs>
          <w:tab w:val="clear" w:pos="4320"/>
          <w:tab w:val="clear" w:pos="8640"/>
        </w:tabs>
        <w:rPr>
          <w:rFonts w:cs="Arial"/>
          <w:sz w:val="22"/>
        </w:rPr>
      </w:pPr>
    </w:p>
    <w:p w:rsidR="00AA055A" w:rsidRPr="00756C33" w:rsidRDefault="00071EA0" w:rsidP="00AA055A">
      <w:pPr>
        <w:numPr>
          <w:ilvl w:val="0"/>
          <w:numId w:val="19"/>
        </w:numPr>
        <w:rPr>
          <w:rFonts w:cs="Arial"/>
          <w:sz w:val="22"/>
        </w:rPr>
      </w:pPr>
      <w:r w:rsidRPr="00756C33">
        <w:rPr>
          <w:rFonts w:cs="Arial"/>
          <w:sz w:val="22"/>
        </w:rPr>
        <w:t xml:space="preserve">Annual </w:t>
      </w:r>
      <w:r w:rsidR="00AA055A" w:rsidRPr="00756C33">
        <w:rPr>
          <w:rFonts w:cs="Arial"/>
          <w:sz w:val="22"/>
        </w:rPr>
        <w:t>Financial statements</w:t>
      </w:r>
    </w:p>
    <w:p w:rsidR="00AA055A" w:rsidRPr="00756C33" w:rsidRDefault="00AA055A" w:rsidP="00AA055A">
      <w:pPr>
        <w:numPr>
          <w:ilvl w:val="0"/>
          <w:numId w:val="19"/>
        </w:numPr>
        <w:rPr>
          <w:rFonts w:cs="Arial"/>
          <w:sz w:val="22"/>
        </w:rPr>
      </w:pPr>
      <w:r w:rsidRPr="00756C33">
        <w:rPr>
          <w:rFonts w:cs="Arial"/>
          <w:sz w:val="22"/>
        </w:rPr>
        <w:t>If acting as a Registered Investment Advisor, copy of their most recent Form ADV</w:t>
      </w:r>
      <w:r w:rsidR="00071EA0" w:rsidRPr="00756C33">
        <w:rPr>
          <w:rFonts w:cs="Arial"/>
          <w:sz w:val="22"/>
        </w:rPr>
        <w:t xml:space="preserve"> Part II report</w:t>
      </w:r>
    </w:p>
    <w:p w:rsidR="00071EA0" w:rsidRPr="00756C33" w:rsidRDefault="00071EA0" w:rsidP="00AA055A">
      <w:pPr>
        <w:numPr>
          <w:ilvl w:val="0"/>
          <w:numId w:val="19"/>
        </w:numPr>
        <w:rPr>
          <w:rFonts w:cs="Arial"/>
          <w:sz w:val="22"/>
        </w:rPr>
      </w:pPr>
      <w:r w:rsidRPr="00756C33">
        <w:rPr>
          <w:rFonts w:cs="Arial"/>
          <w:sz w:val="22"/>
        </w:rPr>
        <w:t>Errors &amp; Omissions insurance amounting to, at a</w:t>
      </w:r>
      <w:r w:rsidR="00FB3D0F">
        <w:rPr>
          <w:rFonts w:cs="Arial"/>
          <w:sz w:val="22"/>
        </w:rPr>
        <w:t xml:space="preserve"> </w:t>
      </w:r>
      <w:r w:rsidRPr="00756C33">
        <w:rPr>
          <w:rFonts w:cs="Arial"/>
          <w:sz w:val="22"/>
        </w:rPr>
        <w:t>minimum, the total fair market value of the Trust Fund Portfolio</w:t>
      </w:r>
    </w:p>
    <w:p w:rsidR="00AA055A" w:rsidRPr="00756C33" w:rsidRDefault="00AA055A" w:rsidP="00AA055A">
      <w:pPr>
        <w:numPr>
          <w:ilvl w:val="0"/>
          <w:numId w:val="19"/>
        </w:numPr>
        <w:rPr>
          <w:rFonts w:cs="Arial"/>
          <w:sz w:val="22"/>
        </w:rPr>
      </w:pPr>
      <w:r w:rsidRPr="00756C33">
        <w:rPr>
          <w:rFonts w:cs="Arial"/>
          <w:sz w:val="22"/>
        </w:rPr>
        <w:t>A statement that the A</w:t>
      </w:r>
      <w:r w:rsidR="007116B5">
        <w:rPr>
          <w:rFonts w:cs="Arial"/>
          <w:sz w:val="22"/>
        </w:rPr>
        <w:t>dvisor has read the town</w:t>
      </w:r>
      <w:r w:rsidRPr="00756C33">
        <w:rPr>
          <w:rFonts w:cs="Arial"/>
          <w:sz w:val="22"/>
        </w:rPr>
        <w:t>'s IPS and will comply with it on an annual basis</w:t>
      </w:r>
    </w:p>
    <w:p w:rsidR="00071EA0" w:rsidRPr="00756C33" w:rsidRDefault="00071EA0" w:rsidP="00AA055A">
      <w:pPr>
        <w:numPr>
          <w:ilvl w:val="0"/>
          <w:numId w:val="19"/>
        </w:numPr>
        <w:rPr>
          <w:rFonts w:cs="Arial"/>
          <w:sz w:val="22"/>
        </w:rPr>
      </w:pPr>
      <w:r w:rsidRPr="00756C33">
        <w:rPr>
          <w:rFonts w:cs="Arial"/>
          <w:sz w:val="22"/>
        </w:rPr>
        <w:t xml:space="preserve">Annual review all advisors through </w:t>
      </w:r>
      <w:hyperlink r:id="rId8" w:history="1">
        <w:r w:rsidRPr="00756C33">
          <w:rPr>
            <w:rStyle w:val="Hyperlink"/>
            <w:rFonts w:cs="Arial"/>
            <w:color w:val="auto"/>
            <w:sz w:val="22"/>
          </w:rPr>
          <w:t>www.finra.org</w:t>
        </w:r>
      </w:hyperlink>
      <w:r w:rsidRPr="00756C33">
        <w:rPr>
          <w:rFonts w:cs="Arial"/>
          <w:sz w:val="22"/>
        </w:rPr>
        <w:t>: Broker Check</w:t>
      </w:r>
    </w:p>
    <w:p w:rsidR="004E3A23" w:rsidRDefault="004E3A23" w:rsidP="00AA055A">
      <w:pPr>
        <w:rPr>
          <w:rFonts w:cs="Arial"/>
          <w:bCs/>
          <w:sz w:val="22"/>
          <w:szCs w:val="24"/>
        </w:rPr>
      </w:pPr>
    </w:p>
    <w:p w:rsidR="004E3A23" w:rsidRDefault="004E3A23" w:rsidP="00AA055A">
      <w:pPr>
        <w:rPr>
          <w:rFonts w:cs="Arial"/>
          <w:bCs/>
          <w:sz w:val="22"/>
          <w:szCs w:val="24"/>
        </w:rPr>
      </w:pPr>
    </w:p>
    <w:p w:rsidR="00AA055A" w:rsidRPr="007F2875" w:rsidRDefault="009B30DD" w:rsidP="00AA055A">
      <w:pPr>
        <w:rPr>
          <w:rFonts w:cs="Arial"/>
          <w:sz w:val="22"/>
        </w:rPr>
      </w:pPr>
      <w:r w:rsidRPr="007F2875">
        <w:rPr>
          <w:rFonts w:cs="Arial"/>
          <w:bCs/>
          <w:sz w:val="22"/>
          <w:szCs w:val="24"/>
        </w:rPr>
        <w:t>E</w:t>
      </w:r>
      <w:r w:rsidR="00AA055A" w:rsidRPr="007F2875">
        <w:rPr>
          <w:rFonts w:cs="Arial"/>
          <w:bCs/>
          <w:sz w:val="22"/>
          <w:szCs w:val="24"/>
        </w:rPr>
        <w:t>.  Reporting Requirements</w:t>
      </w:r>
    </w:p>
    <w:p w:rsidR="00AA055A" w:rsidRPr="007F2875" w:rsidRDefault="00AA055A" w:rsidP="00AA055A">
      <w:pPr>
        <w:pStyle w:val="Footer"/>
        <w:tabs>
          <w:tab w:val="clear" w:pos="4320"/>
          <w:tab w:val="clear" w:pos="8640"/>
        </w:tabs>
        <w:rPr>
          <w:rFonts w:cs="Arial"/>
          <w:sz w:val="22"/>
        </w:rPr>
      </w:pPr>
    </w:p>
    <w:p w:rsidR="00AA055A" w:rsidRPr="007F2875" w:rsidRDefault="00080CC3" w:rsidP="004E3A23">
      <w:pPr>
        <w:ind w:firstLine="720"/>
        <w:jc w:val="both"/>
        <w:rPr>
          <w:rFonts w:cs="Arial"/>
          <w:sz w:val="22"/>
        </w:rPr>
      </w:pPr>
      <w:r>
        <w:rPr>
          <w:rFonts w:cs="Arial"/>
          <w:sz w:val="22"/>
        </w:rPr>
        <w:t>On a semi-annual</w:t>
      </w:r>
      <w:r w:rsidR="00AA055A" w:rsidRPr="007F2875">
        <w:rPr>
          <w:rFonts w:cs="Arial"/>
          <w:sz w:val="22"/>
        </w:rPr>
        <w:t xml:space="preserve"> basis, a report containing the following information will be prepared by the Treasu</w:t>
      </w:r>
      <w:r>
        <w:rPr>
          <w:rFonts w:cs="Arial"/>
          <w:sz w:val="22"/>
        </w:rPr>
        <w:t>rer for the Board of Selectmen.  The</w:t>
      </w:r>
      <w:r w:rsidR="00AA055A" w:rsidRPr="007F2875">
        <w:rPr>
          <w:rFonts w:cs="Arial"/>
          <w:sz w:val="22"/>
        </w:rPr>
        <w:t xml:space="preserve"> report will include the following information, as a minimum requirement:</w:t>
      </w:r>
    </w:p>
    <w:p w:rsidR="00AA055A" w:rsidRPr="007F2875" w:rsidRDefault="00AA055A" w:rsidP="00AA055A">
      <w:pPr>
        <w:rPr>
          <w:rFonts w:cs="Arial"/>
          <w:sz w:val="22"/>
        </w:rPr>
      </w:pPr>
    </w:p>
    <w:p w:rsidR="00AA055A" w:rsidRPr="007F2875" w:rsidRDefault="00AA055A" w:rsidP="00AA055A">
      <w:pPr>
        <w:numPr>
          <w:ilvl w:val="0"/>
          <w:numId w:val="20"/>
        </w:numPr>
        <w:rPr>
          <w:rFonts w:cs="Arial"/>
          <w:sz w:val="22"/>
        </w:rPr>
      </w:pPr>
      <w:r w:rsidRPr="007F2875">
        <w:rPr>
          <w:rFonts w:cs="Arial"/>
          <w:sz w:val="22"/>
        </w:rPr>
        <w:t>A listing of the individual accounts and individual securities held at the end of the reporting period.</w:t>
      </w:r>
    </w:p>
    <w:p w:rsidR="00AA055A" w:rsidRPr="007F2875" w:rsidRDefault="00AA055A" w:rsidP="00AA055A">
      <w:pPr>
        <w:numPr>
          <w:ilvl w:val="0"/>
          <w:numId w:val="20"/>
        </w:numPr>
        <w:rPr>
          <w:rFonts w:cs="Arial"/>
          <w:sz w:val="22"/>
        </w:rPr>
      </w:pPr>
      <w:r w:rsidRPr="007F2875">
        <w:rPr>
          <w:rFonts w:cs="Arial"/>
          <w:sz w:val="22"/>
        </w:rPr>
        <w:t>A listing of the short-term investment portfolio by security type and maturity to ensure compliance with the diversification and maturity guidelines established in the "Diversification" section of this IPS.</w:t>
      </w:r>
    </w:p>
    <w:p w:rsidR="00AA055A" w:rsidRDefault="00AA055A" w:rsidP="00AA055A">
      <w:pPr>
        <w:numPr>
          <w:ilvl w:val="0"/>
          <w:numId w:val="20"/>
        </w:numPr>
        <w:rPr>
          <w:rFonts w:cs="Arial"/>
          <w:sz w:val="22"/>
        </w:rPr>
      </w:pPr>
      <w:r w:rsidRPr="007F2875">
        <w:rPr>
          <w:rFonts w:cs="Arial"/>
          <w:sz w:val="22"/>
        </w:rPr>
        <w:t xml:space="preserve">A summary of the income earned on a monthly basis and year-to-date basis shall be reported. </w:t>
      </w:r>
    </w:p>
    <w:p w:rsidR="00071EA0" w:rsidRPr="00756C33" w:rsidRDefault="00071EA0" w:rsidP="00AA055A">
      <w:pPr>
        <w:numPr>
          <w:ilvl w:val="0"/>
          <w:numId w:val="20"/>
        </w:numPr>
        <w:rPr>
          <w:rFonts w:cs="Arial"/>
          <w:sz w:val="22"/>
        </w:rPr>
      </w:pPr>
      <w:r w:rsidRPr="00756C33">
        <w:rPr>
          <w:rFonts w:cs="Arial"/>
          <w:sz w:val="22"/>
        </w:rPr>
        <w:t xml:space="preserve">The Treasurer shall include in the report a brief statement of general market and economic conditions and other factors that may affect the </w:t>
      </w:r>
      <w:r w:rsidR="00ED6DFA" w:rsidRPr="00756C33">
        <w:rPr>
          <w:rFonts w:cs="Arial"/>
          <w:sz w:val="22"/>
        </w:rPr>
        <w:t>entity’s</w:t>
      </w:r>
      <w:r w:rsidRPr="00756C33">
        <w:rPr>
          <w:rFonts w:cs="Arial"/>
          <w:sz w:val="22"/>
        </w:rPr>
        <w:t xml:space="preserve"> cash position</w:t>
      </w:r>
      <w:r w:rsidR="00ED6DFA" w:rsidRPr="00756C33">
        <w:rPr>
          <w:rFonts w:cs="Arial"/>
          <w:sz w:val="22"/>
        </w:rPr>
        <w:t>.</w:t>
      </w:r>
    </w:p>
    <w:p w:rsidR="00AA055A" w:rsidRPr="007F2875" w:rsidRDefault="00AA055A" w:rsidP="00AA055A">
      <w:pPr>
        <w:numPr>
          <w:ilvl w:val="0"/>
          <w:numId w:val="20"/>
        </w:numPr>
        <w:rPr>
          <w:rFonts w:cs="Arial"/>
          <w:sz w:val="22"/>
        </w:rPr>
      </w:pPr>
      <w:r w:rsidRPr="007F2875">
        <w:rPr>
          <w:rFonts w:cs="Arial"/>
          <w:sz w:val="22"/>
        </w:rPr>
        <w:t>The report should demonstrate the degree of compliance with the tenets set forth in the IPS.</w:t>
      </w:r>
    </w:p>
    <w:p w:rsidR="00AA055A" w:rsidRPr="007F2875" w:rsidRDefault="00AA055A" w:rsidP="00AA055A">
      <w:pPr>
        <w:rPr>
          <w:rFonts w:ascii="Arial" w:hAnsi="Arial" w:cs="Arial"/>
          <w:b/>
          <w:bCs/>
          <w:sz w:val="24"/>
          <w:szCs w:val="24"/>
        </w:rPr>
      </w:pPr>
    </w:p>
    <w:p w:rsidR="004A2731" w:rsidRDefault="00034B09" w:rsidP="004A2731">
      <w:pPr>
        <w:rPr>
          <w:sz w:val="22"/>
          <w:szCs w:val="22"/>
        </w:rPr>
      </w:pPr>
      <w:r w:rsidRPr="007F2875">
        <w:br w:type="page"/>
      </w:r>
    </w:p>
    <w:p w:rsidR="004A2731" w:rsidRDefault="004A2731" w:rsidP="004A2731">
      <w:pPr>
        <w:pBdr>
          <w:bottom w:val="single" w:sz="12" w:space="1" w:color="auto"/>
        </w:pBdr>
        <w:rPr>
          <w:sz w:val="22"/>
          <w:szCs w:val="22"/>
        </w:rPr>
      </w:pPr>
    </w:p>
    <w:p w:rsidR="004A2731" w:rsidRDefault="004A2731" w:rsidP="004A2731">
      <w:pPr>
        <w:rPr>
          <w:sz w:val="22"/>
          <w:szCs w:val="22"/>
        </w:rPr>
      </w:pPr>
    </w:p>
    <w:p w:rsidR="004A2731" w:rsidRDefault="004A2731" w:rsidP="004A2731">
      <w:pPr>
        <w:rPr>
          <w:sz w:val="22"/>
          <w:szCs w:val="22"/>
        </w:rPr>
      </w:pPr>
    </w:p>
    <w:p w:rsidR="00871401" w:rsidRDefault="00871401" w:rsidP="00871401">
      <w:pPr>
        <w:rPr>
          <w:sz w:val="22"/>
          <w:szCs w:val="22"/>
        </w:rPr>
      </w:pPr>
      <w:r>
        <w:rPr>
          <w:sz w:val="22"/>
          <w:szCs w:val="22"/>
        </w:rPr>
        <w:t>We, members of the Chilmark Board of Selectmen, have reviewed this IPS and have voted on this date at a legally posted meeting of the Chilmark Board of Selectmen to accept and adopt this Investment Policy Statement.</w:t>
      </w:r>
    </w:p>
    <w:p w:rsidR="00871401" w:rsidRDefault="00871401" w:rsidP="004A2731">
      <w:pPr>
        <w:jc w:val="both"/>
        <w:rPr>
          <w:sz w:val="22"/>
          <w:szCs w:val="22"/>
        </w:rPr>
      </w:pPr>
    </w:p>
    <w:p w:rsidR="00871401" w:rsidRDefault="00871401" w:rsidP="004A2731">
      <w:pPr>
        <w:jc w:val="both"/>
        <w:rPr>
          <w:sz w:val="22"/>
          <w:szCs w:val="22"/>
        </w:rPr>
      </w:pPr>
    </w:p>
    <w:p w:rsidR="00871401" w:rsidRDefault="00871401" w:rsidP="004A2731">
      <w:pPr>
        <w:jc w:val="both"/>
        <w:rPr>
          <w:sz w:val="22"/>
          <w:szCs w:val="22"/>
        </w:rPr>
      </w:pPr>
      <w:r>
        <w:rPr>
          <w:sz w:val="22"/>
          <w:szCs w:val="22"/>
        </w:rPr>
        <w:t>__________________________________</w:t>
      </w:r>
    </w:p>
    <w:p w:rsidR="00871401" w:rsidRDefault="00871401" w:rsidP="004A2731">
      <w:pPr>
        <w:jc w:val="both"/>
        <w:rPr>
          <w:sz w:val="22"/>
          <w:szCs w:val="22"/>
        </w:rPr>
      </w:pPr>
      <w:r>
        <w:rPr>
          <w:sz w:val="22"/>
          <w:szCs w:val="22"/>
        </w:rPr>
        <w:t>William Rossi, Chairman</w:t>
      </w:r>
    </w:p>
    <w:p w:rsidR="00871401" w:rsidRDefault="00871401" w:rsidP="004A2731">
      <w:pPr>
        <w:jc w:val="both"/>
        <w:rPr>
          <w:sz w:val="22"/>
          <w:szCs w:val="22"/>
        </w:rPr>
      </w:pPr>
    </w:p>
    <w:p w:rsidR="00871401" w:rsidRDefault="00871401" w:rsidP="004A2731">
      <w:pPr>
        <w:jc w:val="both"/>
        <w:rPr>
          <w:sz w:val="22"/>
          <w:szCs w:val="22"/>
        </w:rPr>
      </w:pPr>
    </w:p>
    <w:p w:rsidR="00871401" w:rsidRDefault="00871401" w:rsidP="004A2731">
      <w:pPr>
        <w:jc w:val="both"/>
        <w:rPr>
          <w:sz w:val="22"/>
          <w:szCs w:val="22"/>
        </w:rPr>
      </w:pPr>
      <w:r>
        <w:rPr>
          <w:sz w:val="22"/>
          <w:szCs w:val="22"/>
        </w:rPr>
        <w:t>__________________________________</w:t>
      </w:r>
    </w:p>
    <w:p w:rsidR="00871401" w:rsidRDefault="00871401" w:rsidP="004A2731">
      <w:pPr>
        <w:jc w:val="both"/>
        <w:rPr>
          <w:sz w:val="22"/>
          <w:szCs w:val="22"/>
        </w:rPr>
      </w:pPr>
      <w:r>
        <w:rPr>
          <w:sz w:val="22"/>
          <w:szCs w:val="22"/>
        </w:rPr>
        <w:t>Warren Doty</w:t>
      </w:r>
    </w:p>
    <w:p w:rsidR="00871401" w:rsidRDefault="00871401" w:rsidP="004A2731">
      <w:pPr>
        <w:jc w:val="both"/>
        <w:rPr>
          <w:sz w:val="22"/>
          <w:szCs w:val="22"/>
        </w:rPr>
      </w:pPr>
    </w:p>
    <w:p w:rsidR="00871401" w:rsidRDefault="00871401" w:rsidP="004A2731">
      <w:pPr>
        <w:jc w:val="both"/>
        <w:rPr>
          <w:sz w:val="22"/>
          <w:szCs w:val="22"/>
        </w:rPr>
      </w:pPr>
    </w:p>
    <w:p w:rsidR="00871401" w:rsidRDefault="00871401" w:rsidP="004A2731">
      <w:pPr>
        <w:jc w:val="both"/>
        <w:rPr>
          <w:sz w:val="22"/>
          <w:szCs w:val="22"/>
        </w:rPr>
      </w:pPr>
      <w:r>
        <w:rPr>
          <w:sz w:val="22"/>
          <w:szCs w:val="22"/>
        </w:rPr>
        <w:t>__________________________________</w:t>
      </w:r>
    </w:p>
    <w:p w:rsidR="00871401" w:rsidRDefault="00871401" w:rsidP="004A2731">
      <w:pPr>
        <w:jc w:val="both"/>
        <w:rPr>
          <w:sz w:val="22"/>
          <w:szCs w:val="22"/>
        </w:rPr>
      </w:pPr>
      <w:r>
        <w:rPr>
          <w:sz w:val="22"/>
          <w:szCs w:val="22"/>
        </w:rPr>
        <w:t>Jonathan Mayhew</w:t>
      </w:r>
    </w:p>
    <w:p w:rsidR="00871401" w:rsidRDefault="00871401" w:rsidP="004A2731">
      <w:pPr>
        <w:jc w:val="both"/>
        <w:rPr>
          <w:sz w:val="22"/>
          <w:szCs w:val="22"/>
        </w:rPr>
      </w:pPr>
    </w:p>
    <w:p w:rsidR="00871401" w:rsidRDefault="00871401" w:rsidP="004A2731">
      <w:pPr>
        <w:jc w:val="both"/>
        <w:rPr>
          <w:sz w:val="22"/>
          <w:szCs w:val="22"/>
        </w:rPr>
      </w:pPr>
    </w:p>
    <w:p w:rsidR="00871401" w:rsidRDefault="00871401" w:rsidP="004A2731">
      <w:pPr>
        <w:jc w:val="both"/>
        <w:rPr>
          <w:sz w:val="22"/>
          <w:szCs w:val="22"/>
        </w:rPr>
      </w:pPr>
      <w:r>
        <w:rPr>
          <w:sz w:val="22"/>
          <w:szCs w:val="22"/>
        </w:rPr>
        <w:t>__________________________________</w:t>
      </w:r>
    </w:p>
    <w:p w:rsidR="00871401" w:rsidRDefault="00871401" w:rsidP="004A2731">
      <w:pPr>
        <w:jc w:val="both"/>
        <w:rPr>
          <w:sz w:val="22"/>
          <w:szCs w:val="22"/>
        </w:rPr>
      </w:pPr>
      <w:r>
        <w:rPr>
          <w:sz w:val="22"/>
          <w:szCs w:val="22"/>
        </w:rPr>
        <w:t>Date</w:t>
      </w:r>
    </w:p>
    <w:p w:rsidR="00871401" w:rsidRDefault="00871401" w:rsidP="004A2731">
      <w:pPr>
        <w:jc w:val="both"/>
        <w:rPr>
          <w:sz w:val="22"/>
          <w:szCs w:val="22"/>
        </w:rPr>
      </w:pPr>
    </w:p>
    <w:p w:rsidR="00871401" w:rsidRDefault="00871401" w:rsidP="004A2731">
      <w:pPr>
        <w:jc w:val="both"/>
        <w:rPr>
          <w:sz w:val="22"/>
          <w:szCs w:val="22"/>
        </w:rPr>
      </w:pPr>
    </w:p>
    <w:p w:rsidR="00871401" w:rsidRDefault="00871401" w:rsidP="004A2731">
      <w:pPr>
        <w:jc w:val="both"/>
        <w:rPr>
          <w:sz w:val="22"/>
          <w:szCs w:val="22"/>
        </w:rPr>
      </w:pPr>
    </w:p>
    <w:p w:rsidR="004A2731" w:rsidRPr="0090071A" w:rsidRDefault="004A2731" w:rsidP="004A2731">
      <w:pPr>
        <w:jc w:val="both"/>
        <w:rPr>
          <w:sz w:val="22"/>
          <w:szCs w:val="22"/>
        </w:rPr>
      </w:pPr>
      <w:r w:rsidRPr="0090071A">
        <w:rPr>
          <w:sz w:val="22"/>
          <w:szCs w:val="22"/>
        </w:rPr>
        <w:t>I ___________________________, Treasurer of the Town of ____________ have reviewed this IPS and will manage the Town’s funds under my control in accordance with this IPS.</w:t>
      </w:r>
    </w:p>
    <w:p w:rsidR="004A2731" w:rsidRPr="0090071A" w:rsidRDefault="004A2731" w:rsidP="004A2731">
      <w:pPr>
        <w:rPr>
          <w:sz w:val="22"/>
          <w:szCs w:val="22"/>
        </w:rPr>
      </w:pPr>
    </w:p>
    <w:p w:rsidR="004A2731" w:rsidRPr="00ED6DFA" w:rsidRDefault="004A2731" w:rsidP="004A2731">
      <w:pPr>
        <w:rPr>
          <w:strike/>
          <w:sz w:val="22"/>
          <w:szCs w:val="22"/>
        </w:rPr>
      </w:pPr>
    </w:p>
    <w:p w:rsidR="004A2731" w:rsidRPr="00ED6DFA" w:rsidRDefault="004A2731" w:rsidP="004A2731">
      <w:pPr>
        <w:pBdr>
          <w:bottom w:val="single" w:sz="12" w:space="1" w:color="auto"/>
        </w:pBdr>
        <w:rPr>
          <w:strike/>
          <w:sz w:val="22"/>
          <w:szCs w:val="22"/>
        </w:rPr>
      </w:pPr>
    </w:p>
    <w:p w:rsidR="00034B09" w:rsidRPr="00ED6DFA" w:rsidRDefault="00034B09" w:rsidP="004A2731">
      <w:pPr>
        <w:rPr>
          <w:strike/>
        </w:rPr>
      </w:pPr>
    </w:p>
    <w:p w:rsidR="004A2731" w:rsidRDefault="004A2731">
      <w:pPr>
        <w:sectPr w:rsidR="004A2731" w:rsidSect="007F2875">
          <w:headerReference w:type="even" r:id="rId9"/>
          <w:headerReference w:type="default" r:id="rId10"/>
          <w:footerReference w:type="even" r:id="rId11"/>
          <w:footerReference w:type="default" r:id="rId12"/>
          <w:headerReference w:type="first" r:id="rId13"/>
          <w:footerReference w:type="first" r:id="rId14"/>
          <w:pgSz w:w="12240" w:h="15840" w:code="1"/>
          <w:pgMar w:top="1440" w:right="1008" w:bottom="1440" w:left="1008" w:header="720" w:footer="720" w:gutter="0"/>
          <w:cols w:space="720"/>
          <w:docGrid w:linePitch="272"/>
        </w:sectPr>
      </w:pPr>
    </w:p>
    <w:p w:rsidR="004A2731" w:rsidRDefault="004A2731" w:rsidP="004A2731">
      <w:pPr>
        <w:rPr>
          <w:sz w:val="22"/>
          <w:szCs w:val="22"/>
        </w:rPr>
      </w:pPr>
    </w:p>
    <w:p w:rsidR="004A2731" w:rsidRDefault="004A2731" w:rsidP="004A2731">
      <w:pPr>
        <w:rPr>
          <w:sz w:val="22"/>
          <w:szCs w:val="22"/>
        </w:rPr>
      </w:pPr>
    </w:p>
    <w:p w:rsidR="004A2731" w:rsidRDefault="004A2731" w:rsidP="004A2731">
      <w:pPr>
        <w:pBdr>
          <w:bottom w:val="single" w:sz="12" w:space="1" w:color="auto"/>
        </w:pBdr>
        <w:rPr>
          <w:sz w:val="22"/>
          <w:szCs w:val="22"/>
        </w:rPr>
      </w:pPr>
    </w:p>
    <w:p w:rsidR="004A2731" w:rsidRDefault="004A2731" w:rsidP="004A2731">
      <w:pPr>
        <w:rPr>
          <w:sz w:val="22"/>
          <w:szCs w:val="22"/>
        </w:rPr>
      </w:pPr>
      <w:r>
        <w:rPr>
          <w:sz w:val="22"/>
          <w:szCs w:val="22"/>
        </w:rPr>
        <w:t>Treasurer’s Signature</w:t>
      </w:r>
    </w:p>
    <w:p w:rsidR="004A2731" w:rsidRDefault="004A2731" w:rsidP="004A2731">
      <w:pPr>
        <w:rPr>
          <w:sz w:val="22"/>
          <w:szCs w:val="22"/>
        </w:rPr>
      </w:pPr>
    </w:p>
    <w:p w:rsidR="004A2731" w:rsidRDefault="004A2731" w:rsidP="004A2731">
      <w:pPr>
        <w:pBdr>
          <w:bottom w:val="single" w:sz="12" w:space="1" w:color="auto"/>
        </w:pBdr>
        <w:rPr>
          <w:sz w:val="22"/>
          <w:szCs w:val="22"/>
        </w:rPr>
      </w:pPr>
    </w:p>
    <w:p w:rsidR="00756C33" w:rsidRDefault="00756C33" w:rsidP="004A2731">
      <w:pPr>
        <w:pBdr>
          <w:bottom w:val="single" w:sz="12" w:space="1" w:color="auto"/>
        </w:pBdr>
        <w:rPr>
          <w:sz w:val="22"/>
          <w:szCs w:val="22"/>
        </w:rPr>
      </w:pPr>
    </w:p>
    <w:p w:rsidR="004A2731" w:rsidRDefault="004A2731" w:rsidP="004A2731">
      <w:pPr>
        <w:rPr>
          <w:sz w:val="22"/>
          <w:szCs w:val="22"/>
        </w:rPr>
      </w:pPr>
      <w:r>
        <w:rPr>
          <w:sz w:val="22"/>
          <w:szCs w:val="22"/>
        </w:rPr>
        <w:t>Treasurer’s Printed Name</w:t>
      </w:r>
    </w:p>
    <w:p w:rsidR="004A2731" w:rsidRDefault="004A2731" w:rsidP="004A2731">
      <w:pPr>
        <w:rPr>
          <w:sz w:val="22"/>
          <w:szCs w:val="22"/>
        </w:rPr>
      </w:pPr>
    </w:p>
    <w:p w:rsidR="004A2731" w:rsidRDefault="004A2731" w:rsidP="004A2731">
      <w:pPr>
        <w:rPr>
          <w:sz w:val="22"/>
          <w:szCs w:val="22"/>
        </w:rPr>
      </w:pPr>
    </w:p>
    <w:p w:rsidR="004A2731" w:rsidRDefault="004A2731" w:rsidP="004A2731">
      <w:pPr>
        <w:pBdr>
          <w:bottom w:val="single" w:sz="12" w:space="1" w:color="auto"/>
        </w:pBdr>
        <w:rPr>
          <w:sz w:val="22"/>
          <w:szCs w:val="22"/>
        </w:rPr>
      </w:pPr>
    </w:p>
    <w:p w:rsidR="004A2731" w:rsidRDefault="004A2731" w:rsidP="004A2731">
      <w:pPr>
        <w:rPr>
          <w:sz w:val="22"/>
          <w:szCs w:val="22"/>
        </w:rPr>
      </w:pPr>
      <w:r>
        <w:rPr>
          <w:sz w:val="22"/>
          <w:szCs w:val="22"/>
        </w:rPr>
        <w:t>Date</w:t>
      </w:r>
    </w:p>
    <w:p w:rsidR="00080CC3" w:rsidRDefault="00080CC3" w:rsidP="004A2731">
      <w:pPr>
        <w:rPr>
          <w:sz w:val="22"/>
          <w:szCs w:val="22"/>
        </w:rPr>
      </w:pPr>
    </w:p>
    <w:p w:rsidR="004A2731" w:rsidRPr="00756C33" w:rsidRDefault="004A2731" w:rsidP="004A2731">
      <w:pPr>
        <w:rPr>
          <w:sz w:val="22"/>
          <w:szCs w:val="22"/>
        </w:rPr>
      </w:pPr>
    </w:p>
    <w:p w:rsidR="00034B09" w:rsidRDefault="00034B09"/>
    <w:sectPr w:rsidR="00034B09" w:rsidSect="004B4D7C">
      <w:type w:val="continuous"/>
      <w:pgSz w:w="12240" w:h="15840" w:code="1"/>
      <w:pgMar w:top="1440" w:right="1008" w:bottom="1440" w:left="1008" w:header="720" w:footer="720" w:gutter="0"/>
      <w:cols w:num="2"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C3" w:rsidRDefault="00080CC3">
      <w:r>
        <w:separator/>
      </w:r>
    </w:p>
  </w:endnote>
  <w:endnote w:type="continuationSeparator" w:id="0">
    <w:p w:rsidR="00080CC3" w:rsidRDefault="000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E6" w:rsidRDefault="008373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62075"/>
      <w:docPartObj>
        <w:docPartGallery w:val="Page Numbers (Bottom of Page)"/>
        <w:docPartUnique/>
      </w:docPartObj>
    </w:sdtPr>
    <w:sdtEndPr/>
    <w:sdtContent>
      <w:p w:rsidR="008373E6" w:rsidRDefault="0083712B">
        <w:pPr>
          <w:pStyle w:val="Footer"/>
          <w:jc w:val="center"/>
        </w:pPr>
        <w:r>
          <w:fldChar w:fldCharType="begin"/>
        </w:r>
        <w:r w:rsidR="008373E6">
          <w:instrText xml:space="preserve"> PAGE   \* MERGEFORMAT </w:instrText>
        </w:r>
        <w:r>
          <w:fldChar w:fldCharType="separate"/>
        </w:r>
        <w:r w:rsidR="007001CE">
          <w:rPr>
            <w:noProof/>
          </w:rPr>
          <w:t>2</w:t>
        </w:r>
        <w:r>
          <w:fldChar w:fldCharType="end"/>
        </w:r>
      </w:p>
    </w:sdtContent>
  </w:sdt>
  <w:p w:rsidR="008373E6" w:rsidRDefault="008373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E6" w:rsidRDefault="00837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C3" w:rsidRDefault="00080CC3">
      <w:r>
        <w:separator/>
      </w:r>
    </w:p>
  </w:footnote>
  <w:footnote w:type="continuationSeparator" w:id="0">
    <w:p w:rsidR="00080CC3" w:rsidRDefault="00080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E6" w:rsidRDefault="008373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62074"/>
      <w:docPartObj>
        <w:docPartGallery w:val="Watermarks"/>
        <w:docPartUnique/>
      </w:docPartObj>
    </w:sdtPr>
    <w:sdtEndPr/>
    <w:sdtContent>
      <w:p w:rsidR="008373E6" w:rsidRDefault="007001C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E6" w:rsidRDefault="008373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564B798"/>
    <w:lvl w:ilvl="0">
      <w:start w:val="1"/>
      <w:numFmt w:val="upperRoman"/>
      <w:pStyle w:val="Heading2"/>
      <w:lvlText w:val="%1."/>
      <w:legacy w:legacy="1" w:legacySpace="120" w:legacyIndent="720"/>
      <w:lvlJc w:val="left"/>
      <w:pPr>
        <w:ind w:left="1440" w:hanging="720"/>
      </w:pPr>
      <w:rPr>
        <w:rFonts w:ascii="Times New Roman" w:hAnsi="Times New Roman" w:cs="Times New Roman"/>
      </w:rPr>
    </w:lvl>
    <w:lvl w:ilvl="1">
      <w:numFmt w:val="none"/>
      <w:lvlText w:val=""/>
      <w:lvlJc w:val="left"/>
      <w:rPr>
        <w:rFonts w:ascii="Times New Roman" w:hAnsi="Times New Roman" w:cs="Times New Roman"/>
      </w:rPr>
    </w:lvl>
    <w:lvl w:ilvl="2">
      <w:numFmt w:val="none"/>
      <w:lvlText w:val=""/>
      <w:lvlJc w:val="left"/>
      <w:rPr>
        <w:rFonts w:ascii="Times New Roman" w:hAnsi="Times New Roman" w:cs="Times New Roman"/>
      </w:rPr>
    </w:lvl>
    <w:lvl w:ilvl="3">
      <w:numFmt w:val="none"/>
      <w:lvlText w:val=""/>
      <w:lvlJc w:val="left"/>
      <w:rPr>
        <w:rFonts w:ascii="Times New Roman" w:hAnsi="Times New Roman" w:cs="Times New Roman"/>
      </w:rPr>
    </w:lvl>
    <w:lvl w:ilvl="4">
      <w:numFmt w:val="none"/>
      <w:lvlText w:val=""/>
      <w:lvlJc w:val="left"/>
      <w:rPr>
        <w:rFonts w:ascii="Times New Roman" w:hAnsi="Times New Roman" w:cs="Times New Roman"/>
      </w:rPr>
    </w:lvl>
    <w:lvl w:ilvl="5">
      <w:numFmt w:val="none"/>
      <w:lvlText w:val=""/>
      <w:lvlJc w:val="left"/>
      <w:rPr>
        <w:rFonts w:ascii="Times New Roman" w:hAnsi="Times New Roman" w:cs="Times New Roman"/>
      </w:rPr>
    </w:lvl>
    <w:lvl w:ilvl="6">
      <w:numFmt w:val="none"/>
      <w:lvlText w:val=""/>
      <w:lvlJc w:val="left"/>
      <w:rPr>
        <w:rFonts w:ascii="Times New Roman" w:hAnsi="Times New Roman" w:cs="Times New Roman"/>
      </w:rPr>
    </w:lvl>
    <w:lvl w:ilvl="7">
      <w:numFmt w:val="none"/>
      <w:lvlText w:val=""/>
      <w:lvlJc w:val="left"/>
      <w:rPr>
        <w:rFonts w:ascii="Times New Roman" w:hAnsi="Times New Roman" w:cs="Times New Roman"/>
      </w:rPr>
    </w:lvl>
    <w:lvl w:ilvl="8">
      <w:numFmt w:val="none"/>
      <w:lvlText w:val=""/>
      <w:lvlJc w:val="left"/>
      <w:rPr>
        <w:rFonts w:ascii="Times New Roman" w:hAnsi="Times New Roman" w:cs="Times New Roman"/>
      </w:rPr>
    </w:lvl>
  </w:abstractNum>
  <w:abstractNum w:abstractNumId="1">
    <w:nsid w:val="FFFFFFFE"/>
    <w:multiLevelType w:val="singleLevel"/>
    <w:tmpl w:val="9008FEE8"/>
    <w:lvl w:ilvl="0">
      <w:numFmt w:val="decimal"/>
      <w:lvlText w:val="*"/>
      <w:lvlJc w:val="left"/>
      <w:rPr>
        <w:rFonts w:ascii="Times New Roman" w:hAnsi="Times New Roman" w:cs="Times New Roman"/>
      </w:rPr>
    </w:lvl>
  </w:abstractNum>
  <w:abstractNum w:abstractNumId="2">
    <w:nsid w:val="049A29E9"/>
    <w:multiLevelType w:val="hybridMultilevel"/>
    <w:tmpl w:val="BF92BBFA"/>
    <w:lvl w:ilvl="0" w:tplc="6B4CCE16">
      <w:start w:val="10"/>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
    <w:nsid w:val="13CE790C"/>
    <w:multiLevelType w:val="singleLevel"/>
    <w:tmpl w:val="3856B1A6"/>
    <w:lvl w:ilvl="0">
      <w:start w:val="4"/>
      <w:numFmt w:val="upperLetter"/>
      <w:lvlText w:val="%1."/>
      <w:legacy w:legacy="1" w:legacySpace="120" w:legacyIndent="360"/>
      <w:lvlJc w:val="left"/>
      <w:pPr>
        <w:ind w:left="1080" w:hanging="360"/>
      </w:pPr>
      <w:rPr>
        <w:rFonts w:ascii="Times New Roman" w:hAnsi="Times New Roman" w:cs="Times New Roman"/>
      </w:rPr>
    </w:lvl>
  </w:abstractNum>
  <w:abstractNum w:abstractNumId="4">
    <w:nsid w:val="15B9047F"/>
    <w:multiLevelType w:val="hybridMultilevel"/>
    <w:tmpl w:val="CDC46148"/>
    <w:lvl w:ilvl="0" w:tplc="04090015">
      <w:start w:val="2"/>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305B4"/>
    <w:multiLevelType w:val="singleLevel"/>
    <w:tmpl w:val="FEE40A4E"/>
    <w:lvl w:ilvl="0">
      <w:start w:val="4"/>
      <w:numFmt w:val="decimal"/>
      <w:lvlText w:val="%1."/>
      <w:legacy w:legacy="1" w:legacySpace="120" w:legacyIndent="360"/>
      <w:lvlJc w:val="left"/>
      <w:pPr>
        <w:ind w:left="1080" w:hanging="360"/>
      </w:pPr>
      <w:rPr>
        <w:rFonts w:ascii="Times New Roman" w:hAnsi="Times New Roman" w:cs="Times New Roman"/>
      </w:rPr>
    </w:lvl>
  </w:abstractNum>
  <w:abstractNum w:abstractNumId="6">
    <w:nsid w:val="19DC4D88"/>
    <w:multiLevelType w:val="hybridMultilevel"/>
    <w:tmpl w:val="925E8334"/>
    <w:lvl w:ilvl="0" w:tplc="425C23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70A14"/>
    <w:multiLevelType w:val="hybridMultilevel"/>
    <w:tmpl w:val="9A2647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2834011E"/>
    <w:multiLevelType w:val="hybridMultilevel"/>
    <w:tmpl w:val="88F0C4BE"/>
    <w:lvl w:ilvl="0" w:tplc="E1AE7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9048DC"/>
    <w:multiLevelType w:val="hybridMultilevel"/>
    <w:tmpl w:val="3CD04B72"/>
    <w:lvl w:ilvl="0" w:tplc="A836B346">
      <w:start w:val="2"/>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0">
    <w:nsid w:val="38386905"/>
    <w:multiLevelType w:val="hybridMultilevel"/>
    <w:tmpl w:val="7AF8F736"/>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A773A23"/>
    <w:multiLevelType w:val="hybridMultilevel"/>
    <w:tmpl w:val="12D83CF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3C704FF3"/>
    <w:multiLevelType w:val="hybridMultilevel"/>
    <w:tmpl w:val="302A109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C25695"/>
    <w:multiLevelType w:val="hybridMultilevel"/>
    <w:tmpl w:val="4FA86F8C"/>
    <w:lvl w:ilvl="0" w:tplc="04090001">
      <w:start w:val="1"/>
      <w:numFmt w:val="bullet"/>
      <w:lvlText w:val=""/>
      <w:lvlJc w:val="left"/>
      <w:pPr>
        <w:tabs>
          <w:tab w:val="num" w:pos="780"/>
        </w:tabs>
        <w:ind w:left="780" w:hanging="360"/>
      </w:pPr>
      <w:rPr>
        <w:rFonts w:ascii="Symbol" w:hAnsi="Symbol" w:cs="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Times New Roman" w:hint="default"/>
      </w:rPr>
    </w:lvl>
    <w:lvl w:ilvl="3" w:tplc="04090001">
      <w:start w:val="1"/>
      <w:numFmt w:val="bullet"/>
      <w:lvlText w:val=""/>
      <w:lvlJc w:val="left"/>
      <w:pPr>
        <w:tabs>
          <w:tab w:val="num" w:pos="2940"/>
        </w:tabs>
        <w:ind w:left="2940" w:hanging="360"/>
      </w:pPr>
      <w:rPr>
        <w:rFonts w:ascii="Symbol" w:hAnsi="Symbol" w:cs="Times New Roman"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Times New Roman" w:hint="default"/>
      </w:rPr>
    </w:lvl>
    <w:lvl w:ilvl="6" w:tplc="04090001">
      <w:start w:val="1"/>
      <w:numFmt w:val="bullet"/>
      <w:lvlText w:val=""/>
      <w:lvlJc w:val="left"/>
      <w:pPr>
        <w:tabs>
          <w:tab w:val="num" w:pos="5100"/>
        </w:tabs>
        <w:ind w:left="5100" w:hanging="360"/>
      </w:pPr>
      <w:rPr>
        <w:rFonts w:ascii="Symbol" w:hAnsi="Symbol" w:cs="Times New Roman"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Times New Roman" w:hint="default"/>
      </w:rPr>
    </w:lvl>
  </w:abstractNum>
  <w:abstractNum w:abstractNumId="14">
    <w:nsid w:val="3FF271A6"/>
    <w:multiLevelType w:val="hybridMultilevel"/>
    <w:tmpl w:val="DA4AC6DC"/>
    <w:lvl w:ilvl="0" w:tplc="9BA6DD42">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5">
    <w:nsid w:val="40181EBA"/>
    <w:multiLevelType w:val="hybridMultilevel"/>
    <w:tmpl w:val="8F182024"/>
    <w:lvl w:ilvl="0" w:tplc="04090015">
      <w:start w:val="10"/>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412900CD"/>
    <w:multiLevelType w:val="hybridMultilevel"/>
    <w:tmpl w:val="A7ACDC58"/>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460C01B5"/>
    <w:multiLevelType w:val="hybridMultilevel"/>
    <w:tmpl w:val="ED9C25E8"/>
    <w:lvl w:ilvl="0" w:tplc="04090015">
      <w:start w:val="10"/>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4D1F7657"/>
    <w:multiLevelType w:val="hybridMultilevel"/>
    <w:tmpl w:val="4D6CBF70"/>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4DF75423"/>
    <w:multiLevelType w:val="hybridMultilevel"/>
    <w:tmpl w:val="3132A6A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4E4B57E9"/>
    <w:multiLevelType w:val="hybridMultilevel"/>
    <w:tmpl w:val="B0702EFA"/>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1">
    <w:nsid w:val="537319D6"/>
    <w:multiLevelType w:val="hybridMultilevel"/>
    <w:tmpl w:val="21785E20"/>
    <w:lvl w:ilvl="0" w:tplc="7CECFF0C">
      <w:start w:val="1"/>
      <w:numFmt w:val="upperRoman"/>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53AC3952"/>
    <w:multiLevelType w:val="hybridMultilevel"/>
    <w:tmpl w:val="E04EACE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5560555"/>
    <w:multiLevelType w:val="singleLevel"/>
    <w:tmpl w:val="80AA6E92"/>
    <w:lvl w:ilvl="0">
      <w:start w:val="1"/>
      <w:numFmt w:val="decimal"/>
      <w:lvlText w:val="%1."/>
      <w:legacy w:legacy="1" w:legacySpace="0" w:legacyIndent="360"/>
      <w:lvlJc w:val="left"/>
      <w:pPr>
        <w:ind w:left="360" w:hanging="360"/>
      </w:pPr>
      <w:rPr>
        <w:rFonts w:ascii="Times New Roman" w:hAnsi="Times New Roman" w:cs="Times New Roman"/>
      </w:rPr>
    </w:lvl>
  </w:abstractNum>
  <w:abstractNum w:abstractNumId="24">
    <w:nsid w:val="56F24DAB"/>
    <w:multiLevelType w:val="singleLevel"/>
    <w:tmpl w:val="D44CFBAA"/>
    <w:lvl w:ilvl="0">
      <w:start w:val="1"/>
      <w:numFmt w:val="decimal"/>
      <w:lvlText w:val="%1."/>
      <w:legacy w:legacy="1" w:legacySpace="120" w:legacyIndent="360"/>
      <w:lvlJc w:val="left"/>
      <w:pPr>
        <w:ind w:left="1080" w:hanging="360"/>
      </w:pPr>
      <w:rPr>
        <w:rFonts w:ascii="Times New Roman" w:hAnsi="Times New Roman" w:cs="Times New Roman"/>
      </w:rPr>
    </w:lvl>
  </w:abstractNum>
  <w:abstractNum w:abstractNumId="25">
    <w:nsid w:val="576A3BD5"/>
    <w:multiLevelType w:val="hybridMultilevel"/>
    <w:tmpl w:val="183AEA50"/>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6">
    <w:nsid w:val="63BC00FB"/>
    <w:multiLevelType w:val="hybridMultilevel"/>
    <w:tmpl w:val="BAF4B04E"/>
    <w:lvl w:ilvl="0" w:tplc="D89C933A">
      <w:start w:val="10"/>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7">
    <w:nsid w:val="64AA1928"/>
    <w:multiLevelType w:val="hybridMultilevel"/>
    <w:tmpl w:val="973085FE"/>
    <w:lvl w:ilvl="0" w:tplc="04090001">
      <w:start w:val="1"/>
      <w:numFmt w:val="bullet"/>
      <w:lvlText w:val=""/>
      <w:lvlJc w:val="left"/>
      <w:pPr>
        <w:tabs>
          <w:tab w:val="num" w:pos="720"/>
        </w:tabs>
        <w:ind w:left="720" w:hanging="360"/>
      </w:pPr>
      <w:rPr>
        <w:rFonts w:ascii="Symbol"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nsid w:val="6C3D2972"/>
    <w:multiLevelType w:val="hybridMultilevel"/>
    <w:tmpl w:val="74DA3E7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nsid w:val="6EED4BDA"/>
    <w:multiLevelType w:val="hybridMultilevel"/>
    <w:tmpl w:val="54FCBEC6"/>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0">
    <w:nsid w:val="6FFC75BE"/>
    <w:multiLevelType w:val="hybridMultilevel"/>
    <w:tmpl w:val="1BF879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nsid w:val="71674991"/>
    <w:multiLevelType w:val="hybridMultilevel"/>
    <w:tmpl w:val="7C822008"/>
    <w:lvl w:ilvl="0" w:tplc="68B09DCE">
      <w:start w:val="11"/>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2">
    <w:nsid w:val="7BF12444"/>
    <w:multiLevelType w:val="hybridMultilevel"/>
    <w:tmpl w:val="B11638F4"/>
    <w:lvl w:ilvl="0" w:tplc="45D67C66">
      <w:start w:val="1"/>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num w:numId="1">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23"/>
  </w:num>
  <w:num w:numId="4">
    <w:abstractNumId w:val="9"/>
  </w:num>
  <w:num w:numId="5">
    <w:abstractNumId w:val="0"/>
  </w:num>
  <w:num w:numId="6">
    <w:abstractNumId w:val="1"/>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7">
    <w:abstractNumId w:val="3"/>
  </w:num>
  <w:num w:numId="8">
    <w:abstractNumId w:val="24"/>
  </w:num>
  <w:num w:numId="9">
    <w:abstractNumId w:val="5"/>
  </w:num>
  <w:num w:numId="10">
    <w:abstractNumId w:val="1"/>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11">
    <w:abstractNumId w:val="21"/>
  </w:num>
  <w:num w:numId="12">
    <w:abstractNumId w:val="10"/>
  </w:num>
  <w:num w:numId="13">
    <w:abstractNumId w:val="16"/>
  </w:num>
  <w:num w:numId="14">
    <w:abstractNumId w:val="20"/>
  </w:num>
  <w:num w:numId="15">
    <w:abstractNumId w:val="31"/>
  </w:num>
  <w:num w:numId="16">
    <w:abstractNumId w:val="2"/>
  </w:num>
  <w:num w:numId="17">
    <w:abstractNumId w:val="32"/>
  </w:num>
  <w:num w:numId="18">
    <w:abstractNumId w:val="26"/>
  </w:num>
  <w:num w:numId="19">
    <w:abstractNumId w:val="19"/>
  </w:num>
  <w:num w:numId="20">
    <w:abstractNumId w:val="7"/>
  </w:num>
  <w:num w:numId="21">
    <w:abstractNumId w:val="25"/>
  </w:num>
  <w:num w:numId="22">
    <w:abstractNumId w:val="18"/>
  </w:num>
  <w:num w:numId="23">
    <w:abstractNumId w:val="29"/>
  </w:num>
  <w:num w:numId="24">
    <w:abstractNumId w:val="27"/>
  </w:num>
  <w:num w:numId="25">
    <w:abstractNumId w:val="14"/>
  </w:num>
  <w:num w:numId="26">
    <w:abstractNumId w:val="11"/>
  </w:num>
  <w:num w:numId="27">
    <w:abstractNumId w:val="28"/>
  </w:num>
  <w:num w:numId="28">
    <w:abstractNumId w:val="22"/>
  </w:num>
  <w:num w:numId="29">
    <w:abstractNumId w:val="13"/>
  </w:num>
  <w:num w:numId="30">
    <w:abstractNumId w:val="30"/>
  </w:num>
  <w:num w:numId="31">
    <w:abstractNumId w:val="17"/>
  </w:num>
  <w:num w:numId="32">
    <w:abstractNumId w:val="15"/>
  </w:num>
  <w:num w:numId="33">
    <w:abstractNumId w:val="8"/>
  </w:num>
  <w:num w:numId="34">
    <w:abstractNumId w:val="6"/>
  </w:num>
  <w:num w:numId="35">
    <w:abstractNumId w:val="1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9CF"/>
    <w:rsid w:val="00014B0D"/>
    <w:rsid w:val="00016771"/>
    <w:rsid w:val="00022E80"/>
    <w:rsid w:val="00034B09"/>
    <w:rsid w:val="00071EA0"/>
    <w:rsid w:val="00080CC3"/>
    <w:rsid w:val="000A3BAA"/>
    <w:rsid w:val="001240CE"/>
    <w:rsid w:val="0013660E"/>
    <w:rsid w:val="001E6F87"/>
    <w:rsid w:val="00222D86"/>
    <w:rsid w:val="00267DD5"/>
    <w:rsid w:val="002739CF"/>
    <w:rsid w:val="002B1E05"/>
    <w:rsid w:val="002F34C4"/>
    <w:rsid w:val="00397B78"/>
    <w:rsid w:val="003E2D6A"/>
    <w:rsid w:val="00400386"/>
    <w:rsid w:val="00426411"/>
    <w:rsid w:val="004901B0"/>
    <w:rsid w:val="004A2731"/>
    <w:rsid w:val="004B02A4"/>
    <w:rsid w:val="004B4D7C"/>
    <w:rsid w:val="004B69FA"/>
    <w:rsid w:val="004E3A23"/>
    <w:rsid w:val="004F0708"/>
    <w:rsid w:val="00517CBF"/>
    <w:rsid w:val="00555452"/>
    <w:rsid w:val="00585E2A"/>
    <w:rsid w:val="00680093"/>
    <w:rsid w:val="006B7E89"/>
    <w:rsid w:val="007001CE"/>
    <w:rsid w:val="007116B5"/>
    <w:rsid w:val="00756C33"/>
    <w:rsid w:val="007A5AB5"/>
    <w:rsid w:val="007F2875"/>
    <w:rsid w:val="0083712B"/>
    <w:rsid w:val="008373E6"/>
    <w:rsid w:val="00856A97"/>
    <w:rsid w:val="00871401"/>
    <w:rsid w:val="008A3F7C"/>
    <w:rsid w:val="008A5184"/>
    <w:rsid w:val="008B14E2"/>
    <w:rsid w:val="008E64F7"/>
    <w:rsid w:val="008F5639"/>
    <w:rsid w:val="00912D2A"/>
    <w:rsid w:val="00925E1A"/>
    <w:rsid w:val="00944BC0"/>
    <w:rsid w:val="00993202"/>
    <w:rsid w:val="009B30DD"/>
    <w:rsid w:val="009E4A95"/>
    <w:rsid w:val="00A77809"/>
    <w:rsid w:val="00AA055A"/>
    <w:rsid w:val="00B1722B"/>
    <w:rsid w:val="00B573BF"/>
    <w:rsid w:val="00B809CD"/>
    <w:rsid w:val="00BB5AE4"/>
    <w:rsid w:val="00C60705"/>
    <w:rsid w:val="00D14250"/>
    <w:rsid w:val="00D36FCE"/>
    <w:rsid w:val="00DE5F75"/>
    <w:rsid w:val="00E5082A"/>
    <w:rsid w:val="00ED6DFA"/>
    <w:rsid w:val="00F00A34"/>
    <w:rsid w:val="00F17735"/>
    <w:rsid w:val="00F33413"/>
    <w:rsid w:val="00F9060E"/>
    <w:rsid w:val="00FB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C4"/>
    <w:pPr>
      <w:overflowPunct w:val="0"/>
      <w:autoSpaceDE w:val="0"/>
      <w:autoSpaceDN w:val="0"/>
      <w:adjustRightInd w:val="0"/>
      <w:textAlignment w:val="baseline"/>
    </w:pPr>
  </w:style>
  <w:style w:type="paragraph" w:styleId="Heading1">
    <w:name w:val="heading 1"/>
    <w:basedOn w:val="Normal"/>
    <w:next w:val="Normal"/>
    <w:qFormat/>
    <w:rsid w:val="002F34C4"/>
    <w:pPr>
      <w:keepNext/>
      <w:outlineLvl w:val="0"/>
    </w:pPr>
    <w:rPr>
      <w:sz w:val="24"/>
      <w:szCs w:val="24"/>
    </w:rPr>
  </w:style>
  <w:style w:type="paragraph" w:styleId="Heading2">
    <w:name w:val="heading 2"/>
    <w:basedOn w:val="Normal"/>
    <w:next w:val="Normal"/>
    <w:qFormat/>
    <w:rsid w:val="002F34C4"/>
    <w:pPr>
      <w:keepNext/>
      <w:numPr>
        <w:numId w:val="5"/>
      </w:numPr>
      <w:tabs>
        <w:tab w:val="left" w:pos="1440"/>
      </w:tabs>
      <w:outlineLvl w:val="1"/>
    </w:pPr>
    <w:rPr>
      <w:b/>
      <w:bCs/>
      <w:sz w:val="24"/>
      <w:szCs w:val="24"/>
    </w:rPr>
  </w:style>
  <w:style w:type="paragraph" w:styleId="Heading3">
    <w:name w:val="heading 3"/>
    <w:basedOn w:val="Normal"/>
    <w:next w:val="Normal"/>
    <w:qFormat/>
    <w:rsid w:val="002F34C4"/>
    <w:pPr>
      <w:keepNext/>
      <w:ind w:firstLine="720"/>
      <w:outlineLvl w:val="2"/>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2F34C4"/>
    <w:rPr>
      <w:rFonts w:ascii="Cambria" w:hAnsi="Cambria" w:cs="Cambria"/>
      <w:b/>
      <w:bCs/>
      <w:kern w:val="32"/>
      <w:sz w:val="32"/>
      <w:szCs w:val="32"/>
    </w:rPr>
  </w:style>
  <w:style w:type="character" w:customStyle="1" w:styleId="Heading2Char">
    <w:name w:val="Heading 2 Char"/>
    <w:rsid w:val="002F34C4"/>
    <w:rPr>
      <w:rFonts w:ascii="Cambria" w:hAnsi="Cambria" w:cs="Cambria"/>
      <w:b/>
      <w:bCs/>
      <w:i/>
      <w:iCs/>
      <w:sz w:val="28"/>
      <w:szCs w:val="28"/>
    </w:rPr>
  </w:style>
  <w:style w:type="character" w:customStyle="1" w:styleId="Heading3Char">
    <w:name w:val="Heading 3 Char"/>
    <w:rsid w:val="002F34C4"/>
    <w:rPr>
      <w:rFonts w:ascii="Cambria" w:hAnsi="Cambria" w:cs="Cambria"/>
      <w:b/>
      <w:bCs/>
      <w:sz w:val="26"/>
      <w:szCs w:val="26"/>
    </w:rPr>
  </w:style>
  <w:style w:type="paragraph" w:styleId="Footer">
    <w:name w:val="footer"/>
    <w:basedOn w:val="Normal"/>
    <w:uiPriority w:val="99"/>
    <w:rsid w:val="002F34C4"/>
    <w:pPr>
      <w:tabs>
        <w:tab w:val="center" w:pos="4320"/>
        <w:tab w:val="right" w:pos="8640"/>
      </w:tabs>
    </w:pPr>
  </w:style>
  <w:style w:type="character" w:customStyle="1" w:styleId="FooterChar">
    <w:name w:val="Footer Char"/>
    <w:uiPriority w:val="99"/>
    <w:rsid w:val="002F34C4"/>
    <w:rPr>
      <w:rFonts w:ascii="Times New Roman" w:hAnsi="Times New Roman" w:cs="Times New Roman"/>
    </w:rPr>
  </w:style>
  <w:style w:type="character" w:styleId="PageNumber">
    <w:name w:val="page number"/>
    <w:semiHidden/>
    <w:rsid w:val="002F34C4"/>
    <w:rPr>
      <w:rFonts w:ascii="Times New Roman" w:hAnsi="Times New Roman" w:cs="Times New Roman"/>
    </w:rPr>
  </w:style>
  <w:style w:type="paragraph" w:styleId="BalloonText">
    <w:name w:val="Balloon Text"/>
    <w:basedOn w:val="Normal"/>
    <w:rsid w:val="002F34C4"/>
    <w:rPr>
      <w:rFonts w:ascii="Tahoma" w:hAnsi="Tahoma" w:cs="Tahoma"/>
      <w:sz w:val="16"/>
      <w:szCs w:val="16"/>
    </w:rPr>
  </w:style>
  <w:style w:type="character" w:customStyle="1" w:styleId="BalloonTextChar">
    <w:name w:val="Balloon Text Char"/>
    <w:rsid w:val="002F34C4"/>
    <w:rPr>
      <w:rFonts w:ascii="Times New Roman" w:hAnsi="Times New Roman" w:cs="Times New Roman"/>
      <w:sz w:val="2"/>
      <w:szCs w:val="2"/>
    </w:rPr>
  </w:style>
  <w:style w:type="paragraph" w:styleId="ListParagraph">
    <w:name w:val="List Paragraph"/>
    <w:basedOn w:val="Normal"/>
    <w:uiPriority w:val="34"/>
    <w:qFormat/>
    <w:rsid w:val="009B30DD"/>
    <w:pPr>
      <w:ind w:left="720"/>
    </w:pPr>
  </w:style>
  <w:style w:type="paragraph" w:styleId="Header">
    <w:name w:val="header"/>
    <w:basedOn w:val="Normal"/>
    <w:link w:val="HeaderChar"/>
    <w:uiPriority w:val="99"/>
    <w:unhideWhenUsed/>
    <w:rsid w:val="007F2875"/>
    <w:pPr>
      <w:tabs>
        <w:tab w:val="center" w:pos="4680"/>
        <w:tab w:val="right" w:pos="9360"/>
      </w:tabs>
    </w:pPr>
  </w:style>
  <w:style w:type="character" w:customStyle="1" w:styleId="HeaderChar">
    <w:name w:val="Header Char"/>
    <w:basedOn w:val="DefaultParagraphFont"/>
    <w:link w:val="Header"/>
    <w:uiPriority w:val="99"/>
    <w:rsid w:val="007F2875"/>
  </w:style>
  <w:style w:type="character" w:styleId="Hyperlink">
    <w:name w:val="Hyperlink"/>
    <w:uiPriority w:val="99"/>
    <w:unhideWhenUsed/>
    <w:rsid w:val="00071E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C4"/>
    <w:pPr>
      <w:overflowPunct w:val="0"/>
      <w:autoSpaceDE w:val="0"/>
      <w:autoSpaceDN w:val="0"/>
      <w:adjustRightInd w:val="0"/>
      <w:textAlignment w:val="baseline"/>
    </w:pPr>
  </w:style>
  <w:style w:type="paragraph" w:styleId="Heading1">
    <w:name w:val="heading 1"/>
    <w:basedOn w:val="Normal"/>
    <w:next w:val="Normal"/>
    <w:qFormat/>
    <w:rsid w:val="002F34C4"/>
    <w:pPr>
      <w:keepNext/>
      <w:outlineLvl w:val="0"/>
    </w:pPr>
    <w:rPr>
      <w:sz w:val="24"/>
      <w:szCs w:val="24"/>
    </w:rPr>
  </w:style>
  <w:style w:type="paragraph" w:styleId="Heading2">
    <w:name w:val="heading 2"/>
    <w:basedOn w:val="Normal"/>
    <w:next w:val="Normal"/>
    <w:qFormat/>
    <w:rsid w:val="002F34C4"/>
    <w:pPr>
      <w:keepNext/>
      <w:numPr>
        <w:numId w:val="5"/>
      </w:numPr>
      <w:tabs>
        <w:tab w:val="left" w:pos="1440"/>
      </w:tabs>
      <w:outlineLvl w:val="1"/>
    </w:pPr>
    <w:rPr>
      <w:b/>
      <w:bCs/>
      <w:sz w:val="24"/>
      <w:szCs w:val="24"/>
    </w:rPr>
  </w:style>
  <w:style w:type="paragraph" w:styleId="Heading3">
    <w:name w:val="heading 3"/>
    <w:basedOn w:val="Normal"/>
    <w:next w:val="Normal"/>
    <w:qFormat/>
    <w:rsid w:val="002F34C4"/>
    <w:pPr>
      <w:keepNext/>
      <w:ind w:firstLine="720"/>
      <w:outlineLvl w:val="2"/>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2F34C4"/>
    <w:rPr>
      <w:rFonts w:ascii="Cambria" w:hAnsi="Cambria" w:cs="Cambria"/>
      <w:b/>
      <w:bCs/>
      <w:kern w:val="32"/>
      <w:sz w:val="32"/>
      <w:szCs w:val="32"/>
    </w:rPr>
  </w:style>
  <w:style w:type="character" w:customStyle="1" w:styleId="Heading2Char">
    <w:name w:val="Heading 2 Char"/>
    <w:rsid w:val="002F34C4"/>
    <w:rPr>
      <w:rFonts w:ascii="Cambria" w:hAnsi="Cambria" w:cs="Cambria"/>
      <w:b/>
      <w:bCs/>
      <w:i/>
      <w:iCs/>
      <w:sz w:val="28"/>
      <w:szCs w:val="28"/>
    </w:rPr>
  </w:style>
  <w:style w:type="character" w:customStyle="1" w:styleId="Heading3Char">
    <w:name w:val="Heading 3 Char"/>
    <w:rsid w:val="002F34C4"/>
    <w:rPr>
      <w:rFonts w:ascii="Cambria" w:hAnsi="Cambria" w:cs="Cambria"/>
      <w:b/>
      <w:bCs/>
      <w:sz w:val="26"/>
      <w:szCs w:val="26"/>
    </w:rPr>
  </w:style>
  <w:style w:type="paragraph" w:styleId="Footer">
    <w:name w:val="footer"/>
    <w:basedOn w:val="Normal"/>
    <w:uiPriority w:val="99"/>
    <w:rsid w:val="002F34C4"/>
    <w:pPr>
      <w:tabs>
        <w:tab w:val="center" w:pos="4320"/>
        <w:tab w:val="right" w:pos="8640"/>
      </w:tabs>
    </w:pPr>
  </w:style>
  <w:style w:type="character" w:customStyle="1" w:styleId="FooterChar">
    <w:name w:val="Footer Char"/>
    <w:uiPriority w:val="99"/>
    <w:rsid w:val="002F34C4"/>
    <w:rPr>
      <w:rFonts w:ascii="Times New Roman" w:hAnsi="Times New Roman" w:cs="Times New Roman"/>
    </w:rPr>
  </w:style>
  <w:style w:type="character" w:styleId="PageNumber">
    <w:name w:val="page number"/>
    <w:semiHidden/>
    <w:rsid w:val="002F34C4"/>
    <w:rPr>
      <w:rFonts w:ascii="Times New Roman" w:hAnsi="Times New Roman" w:cs="Times New Roman"/>
    </w:rPr>
  </w:style>
  <w:style w:type="paragraph" w:styleId="BalloonText">
    <w:name w:val="Balloon Text"/>
    <w:basedOn w:val="Normal"/>
    <w:rsid w:val="002F34C4"/>
    <w:rPr>
      <w:rFonts w:ascii="Tahoma" w:hAnsi="Tahoma" w:cs="Tahoma"/>
      <w:sz w:val="16"/>
      <w:szCs w:val="16"/>
    </w:rPr>
  </w:style>
  <w:style w:type="character" w:customStyle="1" w:styleId="BalloonTextChar">
    <w:name w:val="Balloon Text Char"/>
    <w:rsid w:val="002F34C4"/>
    <w:rPr>
      <w:rFonts w:ascii="Times New Roman" w:hAnsi="Times New Roman" w:cs="Times New Roman"/>
      <w:sz w:val="2"/>
      <w:szCs w:val="2"/>
    </w:rPr>
  </w:style>
  <w:style w:type="paragraph" w:styleId="ListParagraph">
    <w:name w:val="List Paragraph"/>
    <w:basedOn w:val="Normal"/>
    <w:uiPriority w:val="34"/>
    <w:qFormat/>
    <w:rsid w:val="009B30DD"/>
    <w:pPr>
      <w:ind w:left="720"/>
    </w:pPr>
  </w:style>
  <w:style w:type="paragraph" w:styleId="Header">
    <w:name w:val="header"/>
    <w:basedOn w:val="Normal"/>
    <w:link w:val="HeaderChar"/>
    <w:uiPriority w:val="99"/>
    <w:unhideWhenUsed/>
    <w:rsid w:val="007F2875"/>
    <w:pPr>
      <w:tabs>
        <w:tab w:val="center" w:pos="4680"/>
        <w:tab w:val="right" w:pos="9360"/>
      </w:tabs>
    </w:pPr>
  </w:style>
  <w:style w:type="character" w:customStyle="1" w:styleId="HeaderChar">
    <w:name w:val="Header Char"/>
    <w:basedOn w:val="DefaultParagraphFont"/>
    <w:link w:val="Header"/>
    <w:uiPriority w:val="99"/>
    <w:rsid w:val="007F2875"/>
  </w:style>
  <w:style w:type="character" w:styleId="Hyperlink">
    <w:name w:val="Hyperlink"/>
    <w:uiPriority w:val="99"/>
    <w:unhideWhenUsed/>
    <w:rsid w:val="00071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ra.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3107</Words>
  <Characters>17713</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[ver]</vt:lpstr>
    </vt:vector>
  </TitlesOfParts>
  <Company>Hewlett-Packard Company</Company>
  <LinksUpToDate>false</LinksUpToDate>
  <CharactersWithSpaces>20779</CharactersWithSpaces>
  <SharedDoc>false</SharedDoc>
  <HLinks>
    <vt:vector size="6" baseType="variant">
      <vt:variant>
        <vt:i4>4849687</vt:i4>
      </vt:variant>
      <vt:variant>
        <vt:i4>0</vt:i4>
      </vt:variant>
      <vt:variant>
        <vt:i4>0</vt:i4>
      </vt:variant>
      <vt:variant>
        <vt:i4>5</vt:i4>
      </vt:variant>
      <vt:variant>
        <vt:lpwstr>http://www.finra.org/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c:title>
  <dc:creator>Alex Bartholomew</dc:creator>
  <cp:lastModifiedBy>AsstExecSec</cp:lastModifiedBy>
  <cp:revision>2</cp:revision>
  <cp:lastPrinted>2014-12-16T21:36:00Z</cp:lastPrinted>
  <dcterms:created xsi:type="dcterms:W3CDTF">2015-01-08T17:11:00Z</dcterms:created>
  <dcterms:modified xsi:type="dcterms:W3CDTF">2015-01-08T17:11:00Z</dcterms:modified>
</cp:coreProperties>
</file>